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D2545" w14:textId="77777777" w:rsidR="00D653EF" w:rsidRPr="00BF6750" w:rsidRDefault="00D653EF" w:rsidP="00D653EF">
      <w:pPr>
        <w:pStyle w:val="Default"/>
        <w:spacing w:line="480" w:lineRule="exact"/>
        <w:rPr>
          <w:color w:val="000000" w:themeColor="text1"/>
          <w:sz w:val="40"/>
          <w:szCs w:val="40"/>
        </w:rPr>
      </w:pPr>
      <w:r w:rsidRPr="00BF6750">
        <w:rPr>
          <w:rFonts w:hint="eastAsia"/>
          <w:color w:val="000000" w:themeColor="text1"/>
          <w:sz w:val="40"/>
          <w:szCs w:val="40"/>
        </w:rPr>
        <w:t>證券商辦理有價證券融資融券業務操作辦法暨證券商辦理有價證券買賣融資融券契約書部分條文修正總說明</w:t>
      </w:r>
    </w:p>
    <w:p w14:paraId="5D9BB563" w14:textId="77777777" w:rsidR="00D653EF" w:rsidRPr="00BF6750" w:rsidRDefault="00D653EF" w:rsidP="00D653EF">
      <w:pPr>
        <w:pStyle w:val="Default"/>
        <w:spacing w:line="440" w:lineRule="exact"/>
        <w:rPr>
          <w:color w:val="000000" w:themeColor="text1"/>
          <w:sz w:val="28"/>
          <w:szCs w:val="28"/>
        </w:rPr>
      </w:pPr>
    </w:p>
    <w:p w14:paraId="398A7154" w14:textId="77777777" w:rsidR="00D653EF" w:rsidRPr="00BF6750" w:rsidRDefault="00D653EF" w:rsidP="00D653EF">
      <w:pPr>
        <w:pStyle w:val="Default"/>
        <w:spacing w:line="440" w:lineRule="exact"/>
        <w:ind w:firstLineChars="205" w:firstLine="574"/>
        <w:jc w:val="both"/>
        <w:rPr>
          <w:color w:val="000000" w:themeColor="text1"/>
          <w:sz w:val="28"/>
          <w:szCs w:val="28"/>
          <w:lang w:val="zh-TW"/>
        </w:rPr>
      </w:pPr>
      <w:r w:rsidRPr="00BF6750">
        <w:rPr>
          <w:rFonts w:hint="eastAsia"/>
          <w:color w:val="000000" w:themeColor="text1"/>
          <w:sz w:val="28"/>
          <w:szCs w:val="28"/>
          <w:lang w:val="zh-TW"/>
        </w:rPr>
        <w:t>證券商辦理有價證券融資融券業務操作辦法(以下簡稱操作辦法)，本操作辦法自八十一年十月九日發布施行後，歷經九十</w:t>
      </w:r>
      <w:r w:rsidRPr="00FD6B85">
        <w:rPr>
          <w:rFonts w:hint="eastAsia"/>
          <w:color w:val="000000" w:themeColor="text1"/>
          <w:sz w:val="28"/>
          <w:szCs w:val="28"/>
          <w:lang w:val="zh-TW"/>
        </w:rPr>
        <w:t>七</w:t>
      </w:r>
      <w:r w:rsidRPr="00BF6750">
        <w:rPr>
          <w:rFonts w:hint="eastAsia"/>
          <w:color w:val="000000" w:themeColor="text1"/>
          <w:sz w:val="28"/>
          <w:szCs w:val="28"/>
          <w:lang w:val="zh-TW"/>
        </w:rPr>
        <w:t>次修正</w:t>
      </w:r>
      <w:r w:rsidRPr="00BF6750">
        <w:rPr>
          <w:rFonts w:hAnsi="標楷體" w:hint="eastAsia"/>
          <w:color w:val="000000" w:themeColor="text1"/>
          <w:sz w:val="28"/>
          <w:szCs w:val="28"/>
          <w:lang w:val="zh-TW"/>
        </w:rPr>
        <w:t>。</w:t>
      </w:r>
      <w:r w:rsidRPr="00BF6750">
        <w:rPr>
          <w:rFonts w:hint="eastAsia"/>
          <w:color w:val="000000" w:themeColor="text1"/>
          <w:sz w:val="28"/>
          <w:szCs w:val="28"/>
          <w:lang w:val="zh-TW"/>
        </w:rPr>
        <w:t>本次係為</w:t>
      </w:r>
      <w:r>
        <w:rPr>
          <w:rFonts w:hint="eastAsia"/>
          <w:color w:val="000000" w:themeColor="text1"/>
          <w:sz w:val="28"/>
          <w:szCs w:val="28"/>
          <w:lang w:val="zh-TW"/>
        </w:rPr>
        <w:t>提升</w:t>
      </w:r>
      <w:r w:rsidRPr="00BF6750">
        <w:rPr>
          <w:rFonts w:hint="eastAsia"/>
          <w:color w:val="000000" w:themeColor="text1"/>
          <w:sz w:val="28"/>
          <w:szCs w:val="28"/>
          <w:lang w:val="zh-TW"/>
        </w:rPr>
        <w:t>投資人資金調度彈性與風險因應能力，</w:t>
      </w:r>
      <w:r>
        <w:rPr>
          <w:rFonts w:hint="eastAsia"/>
          <w:color w:val="000000" w:themeColor="text1"/>
          <w:sz w:val="28"/>
          <w:szCs w:val="28"/>
          <w:lang w:val="zh-TW"/>
        </w:rPr>
        <w:t>並</w:t>
      </w:r>
      <w:r w:rsidRPr="00BF6750">
        <w:rPr>
          <w:rFonts w:hint="eastAsia"/>
          <w:color w:val="000000" w:themeColor="text1"/>
          <w:sz w:val="28"/>
          <w:szCs w:val="28"/>
          <w:lang w:val="zh-TW"/>
        </w:rPr>
        <w:t>強化市場之穩定發展，</w:t>
      </w:r>
      <w:r>
        <w:rPr>
          <w:rFonts w:hint="eastAsia"/>
          <w:color w:val="000000" w:themeColor="text1"/>
          <w:sz w:val="28"/>
          <w:szCs w:val="28"/>
          <w:lang w:val="zh-TW"/>
        </w:rPr>
        <w:t>爰放</w:t>
      </w:r>
      <w:r w:rsidRPr="00BF6750">
        <w:rPr>
          <w:rFonts w:hint="eastAsia"/>
          <w:color w:val="000000" w:themeColor="text1"/>
          <w:sz w:val="28"/>
          <w:szCs w:val="28"/>
          <w:lang w:val="zh-TW"/>
        </w:rPr>
        <w:t>寬抵繳擔保品</w:t>
      </w:r>
      <w:r>
        <w:rPr>
          <w:rFonts w:hint="eastAsia"/>
          <w:color w:val="000000" w:themeColor="text1"/>
          <w:sz w:val="28"/>
          <w:szCs w:val="28"/>
          <w:lang w:val="zh-TW"/>
        </w:rPr>
        <w:t>之適用範圍</w:t>
      </w:r>
      <w:r w:rsidRPr="00BF6750">
        <w:rPr>
          <w:rFonts w:hint="eastAsia"/>
          <w:color w:val="000000" w:themeColor="text1"/>
          <w:sz w:val="28"/>
          <w:szCs w:val="28"/>
          <w:lang w:val="zh-TW"/>
        </w:rPr>
        <w:t>，</w:t>
      </w:r>
      <w:r>
        <w:rPr>
          <w:rFonts w:hint="eastAsia"/>
          <w:color w:val="000000" w:themeColor="text1"/>
          <w:sz w:val="28"/>
          <w:szCs w:val="28"/>
          <w:lang w:val="zh-TW"/>
        </w:rPr>
        <w:t>新增</w:t>
      </w:r>
      <w:r w:rsidRPr="00BF6750">
        <w:rPr>
          <w:rFonts w:hint="eastAsia"/>
          <w:color w:val="000000" w:themeColor="text1"/>
          <w:sz w:val="28"/>
          <w:szCs w:val="28"/>
          <w:lang w:val="zh-TW"/>
        </w:rPr>
        <w:t>零股</w:t>
      </w:r>
      <w:r w:rsidRPr="00FD6B85">
        <w:rPr>
          <w:rFonts w:hint="eastAsia"/>
          <w:color w:val="000000" w:themeColor="text1"/>
          <w:sz w:val="28"/>
          <w:szCs w:val="28"/>
          <w:lang w:val="zh-TW"/>
        </w:rPr>
        <w:t>及</w:t>
      </w:r>
      <w:r w:rsidRPr="00BF6750">
        <w:rPr>
          <w:rFonts w:hint="eastAsia"/>
          <w:color w:val="000000" w:themeColor="text1"/>
          <w:sz w:val="28"/>
          <w:szCs w:val="28"/>
          <w:lang w:val="zh-TW"/>
        </w:rPr>
        <w:t>興櫃股票</w:t>
      </w:r>
      <w:r>
        <w:rPr>
          <w:rFonts w:hint="eastAsia"/>
          <w:color w:val="000000" w:themeColor="text1"/>
          <w:sz w:val="28"/>
          <w:szCs w:val="28"/>
          <w:lang w:val="zh-TW"/>
        </w:rPr>
        <w:t>作為</w:t>
      </w:r>
      <w:r w:rsidRPr="00BF6750">
        <w:rPr>
          <w:rFonts w:hint="eastAsia"/>
          <w:color w:val="000000" w:themeColor="text1"/>
          <w:sz w:val="28"/>
          <w:szCs w:val="28"/>
          <w:lang w:val="zh-TW"/>
        </w:rPr>
        <w:t>抵繳擔保品</w:t>
      </w:r>
      <w:r>
        <w:rPr>
          <w:rFonts w:hint="eastAsia"/>
          <w:color w:val="000000" w:themeColor="text1"/>
          <w:sz w:val="28"/>
          <w:szCs w:val="28"/>
          <w:lang w:val="zh-TW"/>
        </w:rPr>
        <w:t>。</w:t>
      </w:r>
      <w:r w:rsidRPr="00BF6750">
        <w:rPr>
          <w:rFonts w:hint="eastAsia"/>
          <w:color w:val="000000" w:themeColor="text1"/>
          <w:sz w:val="28"/>
          <w:szCs w:val="28"/>
          <w:lang w:val="zh-TW"/>
        </w:rPr>
        <w:t>本次操作辦法共計修正十</w:t>
      </w:r>
      <w:r w:rsidR="00875B2D">
        <w:rPr>
          <w:rFonts w:hint="eastAsia"/>
          <w:color w:val="000000" w:themeColor="text1"/>
          <w:sz w:val="28"/>
          <w:szCs w:val="28"/>
          <w:lang w:val="zh-TW"/>
        </w:rPr>
        <w:t>四</w:t>
      </w:r>
      <w:r w:rsidRPr="00BF6750">
        <w:rPr>
          <w:rFonts w:hint="eastAsia"/>
          <w:color w:val="000000" w:themeColor="text1"/>
          <w:sz w:val="28"/>
          <w:szCs w:val="28"/>
          <w:lang w:val="zh-TW"/>
        </w:rPr>
        <w:t>條，另亦同步配合修正「證券商辦理有價證券買賣融資融券契約書」部分條文(以下簡稱契約書)，本次共計修正</w:t>
      </w:r>
      <w:r>
        <w:rPr>
          <w:rFonts w:hint="eastAsia"/>
          <w:color w:val="000000" w:themeColor="text1"/>
          <w:sz w:val="28"/>
          <w:szCs w:val="28"/>
          <w:lang w:val="zh-TW"/>
        </w:rPr>
        <w:t>五</w:t>
      </w:r>
      <w:r w:rsidRPr="00BF6750">
        <w:rPr>
          <w:rFonts w:hint="eastAsia"/>
          <w:color w:val="000000" w:themeColor="text1"/>
          <w:sz w:val="28"/>
          <w:szCs w:val="28"/>
          <w:lang w:val="zh-TW"/>
        </w:rPr>
        <w:t>條。有關操作辦法及契約書等二部分之修正要點茲臚陳如下：</w:t>
      </w:r>
    </w:p>
    <w:p w14:paraId="0F2A7F9B" w14:textId="77777777" w:rsidR="00D653EF" w:rsidRPr="00BF6750" w:rsidRDefault="00D653EF" w:rsidP="00D653EF">
      <w:pPr>
        <w:pStyle w:val="Default"/>
        <w:spacing w:line="440" w:lineRule="exact"/>
        <w:ind w:leftChars="50" w:left="1836" w:hangingChars="613" w:hanging="1716"/>
        <w:rPr>
          <w:color w:val="000000" w:themeColor="text1"/>
          <w:sz w:val="28"/>
          <w:szCs w:val="28"/>
          <w:lang w:val="zh-TW"/>
        </w:rPr>
      </w:pPr>
      <w:r w:rsidRPr="00BF6750">
        <w:rPr>
          <w:rFonts w:hint="eastAsia"/>
          <w:color w:val="000000" w:themeColor="text1"/>
          <w:sz w:val="28"/>
          <w:szCs w:val="28"/>
          <w:lang w:val="zh-TW"/>
        </w:rPr>
        <w:t>一、「操作辦法」部分:</w:t>
      </w:r>
    </w:p>
    <w:p w14:paraId="6C6E19D9" w14:textId="77777777" w:rsidR="00D653EF" w:rsidRDefault="00D653EF" w:rsidP="00D653EF">
      <w:pPr>
        <w:pStyle w:val="Default"/>
        <w:spacing w:line="440" w:lineRule="exact"/>
        <w:ind w:leftChars="150" w:left="906" w:hangingChars="195" w:hanging="546"/>
        <w:rPr>
          <w:color w:val="000000" w:themeColor="text1"/>
          <w:sz w:val="28"/>
          <w:szCs w:val="28"/>
        </w:rPr>
      </w:pPr>
      <w:r w:rsidRPr="00BF6750">
        <w:rPr>
          <w:rFonts w:hint="eastAsia"/>
          <w:color w:val="000000" w:themeColor="text1"/>
          <w:sz w:val="28"/>
          <w:szCs w:val="28"/>
          <w:lang w:val="zh-TW"/>
        </w:rPr>
        <w:t>(</w:t>
      </w:r>
      <w:r>
        <w:rPr>
          <w:rFonts w:hint="eastAsia"/>
          <w:color w:val="000000" w:themeColor="text1"/>
          <w:sz w:val="28"/>
          <w:szCs w:val="28"/>
          <w:lang w:val="zh-TW"/>
        </w:rPr>
        <w:t>一</w:t>
      </w:r>
      <w:r w:rsidRPr="00BF6750">
        <w:rPr>
          <w:rFonts w:hint="eastAsia"/>
          <w:color w:val="000000" w:themeColor="text1"/>
          <w:sz w:val="28"/>
          <w:szCs w:val="28"/>
          <w:lang w:val="zh-TW"/>
        </w:rPr>
        <w:t>)</w:t>
      </w:r>
      <w:r w:rsidR="00502BD1" w:rsidRPr="00502BD1">
        <w:rPr>
          <w:rFonts w:hint="eastAsia"/>
          <w:color w:val="000000" w:themeColor="text1"/>
          <w:sz w:val="28"/>
          <w:szCs w:val="28"/>
          <w:lang w:val="zh-TW"/>
        </w:rPr>
        <w:t>參酌財務報告審閱作業程序，</w:t>
      </w:r>
      <w:r w:rsidR="00502BD1">
        <w:rPr>
          <w:rFonts w:hint="eastAsia"/>
          <w:color w:val="000000" w:themeColor="text1"/>
          <w:sz w:val="28"/>
          <w:szCs w:val="28"/>
          <w:lang w:val="zh-TW"/>
        </w:rPr>
        <w:t>爰</w:t>
      </w:r>
      <w:r w:rsidRPr="005466A8">
        <w:rPr>
          <w:rFonts w:hint="eastAsia"/>
          <w:color w:val="000000" w:themeColor="text1"/>
          <w:sz w:val="28"/>
          <w:szCs w:val="28"/>
          <w:lang w:val="zh-TW"/>
        </w:rPr>
        <w:t>酌作</w:t>
      </w:r>
      <w:r w:rsidR="005466A8" w:rsidRPr="005466A8">
        <w:rPr>
          <w:rFonts w:hint="eastAsia"/>
          <w:color w:val="000000" w:themeColor="text1"/>
          <w:sz w:val="28"/>
          <w:szCs w:val="28"/>
          <w:lang w:val="zh-TW"/>
        </w:rPr>
        <w:t>條文</w:t>
      </w:r>
      <w:r w:rsidRPr="005466A8">
        <w:rPr>
          <w:rFonts w:hint="eastAsia"/>
          <w:color w:val="000000" w:themeColor="text1"/>
          <w:sz w:val="28"/>
          <w:szCs w:val="28"/>
          <w:lang w:val="zh-TW"/>
        </w:rPr>
        <w:t>文字調</w:t>
      </w:r>
      <w:r w:rsidRPr="00BF6750">
        <w:rPr>
          <w:rFonts w:hint="eastAsia"/>
          <w:color w:val="000000" w:themeColor="text1"/>
          <w:sz w:val="28"/>
          <w:szCs w:val="28"/>
          <w:lang w:val="zh-TW"/>
        </w:rPr>
        <w:t>整</w:t>
      </w:r>
      <w:r w:rsidR="005466A8">
        <w:rPr>
          <w:rFonts w:hint="eastAsia"/>
          <w:color w:val="000000" w:themeColor="text1"/>
          <w:sz w:val="28"/>
          <w:szCs w:val="28"/>
          <w:lang w:val="zh-TW"/>
        </w:rPr>
        <w:t>，以</w:t>
      </w:r>
      <w:r w:rsidR="005466A8">
        <w:rPr>
          <w:color w:val="000000" w:themeColor="text1"/>
          <w:sz w:val="28"/>
          <w:szCs w:val="28"/>
          <w:lang w:val="zh-TW"/>
        </w:rPr>
        <w:t>使規範內容更為周延</w:t>
      </w:r>
      <w:r w:rsidR="00502BD1" w:rsidRPr="00502BD1">
        <w:rPr>
          <w:rFonts w:hint="eastAsia"/>
          <w:color w:val="000000" w:themeColor="text1"/>
          <w:sz w:val="28"/>
          <w:szCs w:val="28"/>
          <w:lang w:val="zh-TW"/>
        </w:rPr>
        <w:t>，並與實務審閱程序相符</w:t>
      </w:r>
      <w:r w:rsidRPr="00BF6750">
        <w:rPr>
          <w:rFonts w:hint="eastAsia"/>
          <w:color w:val="000000" w:themeColor="text1"/>
          <w:sz w:val="28"/>
          <w:szCs w:val="28"/>
          <w:lang w:val="zh-TW"/>
        </w:rPr>
        <w:t>。（修正操作辦法第二十二條</w:t>
      </w:r>
      <w:r w:rsidR="00502BD1">
        <w:rPr>
          <w:rFonts w:hint="eastAsia"/>
          <w:color w:val="000000" w:themeColor="text1"/>
          <w:sz w:val="28"/>
          <w:szCs w:val="28"/>
          <w:lang w:val="zh-TW"/>
        </w:rPr>
        <w:t>及第二十三條</w:t>
      </w:r>
      <w:r w:rsidRPr="00BF6750">
        <w:rPr>
          <w:rFonts w:hint="eastAsia"/>
          <w:color w:val="000000" w:themeColor="text1"/>
          <w:sz w:val="28"/>
          <w:szCs w:val="28"/>
          <w:lang w:val="zh-TW"/>
        </w:rPr>
        <w:t>）</w:t>
      </w:r>
    </w:p>
    <w:p w14:paraId="56E2910B" w14:textId="77777777" w:rsidR="00D653EF" w:rsidRPr="00040F2B" w:rsidRDefault="00D653EF" w:rsidP="00D653EF">
      <w:pPr>
        <w:pStyle w:val="Default"/>
        <w:spacing w:line="440" w:lineRule="exact"/>
        <w:ind w:leftChars="150" w:left="906" w:hangingChars="195" w:hanging="546"/>
        <w:rPr>
          <w:color w:val="000000" w:themeColor="text1"/>
          <w:sz w:val="28"/>
          <w:szCs w:val="28"/>
        </w:rPr>
      </w:pPr>
      <w:r w:rsidRPr="00B866AA">
        <w:rPr>
          <w:rFonts w:hint="eastAsia"/>
          <w:color w:val="000000" w:themeColor="text1"/>
          <w:sz w:val="28"/>
          <w:szCs w:val="28"/>
        </w:rPr>
        <w:t>(</w:t>
      </w:r>
      <w:r>
        <w:rPr>
          <w:rFonts w:hint="eastAsia"/>
          <w:color w:val="000000" w:themeColor="text1"/>
          <w:sz w:val="28"/>
          <w:szCs w:val="28"/>
        </w:rPr>
        <w:t>二</w:t>
      </w:r>
      <w:r w:rsidRPr="00B866AA">
        <w:rPr>
          <w:rFonts w:hint="eastAsia"/>
          <w:color w:val="000000" w:themeColor="text1"/>
          <w:sz w:val="28"/>
          <w:szCs w:val="28"/>
        </w:rPr>
        <w:t>)</w:t>
      </w:r>
      <w:r>
        <w:rPr>
          <w:rFonts w:hint="eastAsia"/>
          <w:color w:val="000000" w:themeColor="text1"/>
          <w:sz w:val="28"/>
          <w:szCs w:val="28"/>
          <w:lang w:val="zh-TW"/>
        </w:rPr>
        <w:t>配合新增電子化通知方式，當委託人之電子郵件及手機號碼變更時，明定其應即通知證券商，另並增訂委託人得以電子憑證認證方式申請變更部分基本資料等規範</w:t>
      </w:r>
      <w:r w:rsidRPr="00BF6750">
        <w:rPr>
          <w:rFonts w:hint="eastAsia"/>
          <w:color w:val="000000" w:themeColor="text1"/>
          <w:sz w:val="28"/>
          <w:szCs w:val="28"/>
          <w:lang w:val="zh-TW"/>
        </w:rPr>
        <w:t>。（修正操作辦法第四十</w:t>
      </w:r>
      <w:r>
        <w:rPr>
          <w:rFonts w:hint="eastAsia"/>
          <w:color w:val="000000" w:themeColor="text1"/>
          <w:sz w:val="28"/>
          <w:szCs w:val="28"/>
          <w:lang w:val="zh-TW"/>
        </w:rPr>
        <w:t>五</w:t>
      </w:r>
      <w:r w:rsidRPr="00BF6750">
        <w:rPr>
          <w:rFonts w:hint="eastAsia"/>
          <w:color w:val="000000" w:themeColor="text1"/>
          <w:sz w:val="28"/>
          <w:szCs w:val="28"/>
          <w:lang w:val="zh-TW"/>
        </w:rPr>
        <w:t>條）</w:t>
      </w:r>
    </w:p>
    <w:p w14:paraId="4CE32C89" w14:textId="77777777" w:rsidR="00D653EF" w:rsidRPr="00BF6750" w:rsidRDefault="00D653EF" w:rsidP="00D653EF">
      <w:pPr>
        <w:pStyle w:val="Default"/>
        <w:spacing w:line="440" w:lineRule="exact"/>
        <w:ind w:leftChars="150" w:left="906" w:hangingChars="195" w:hanging="546"/>
        <w:jc w:val="both"/>
        <w:rPr>
          <w:color w:val="000000" w:themeColor="text1"/>
          <w:sz w:val="28"/>
          <w:szCs w:val="28"/>
          <w:lang w:val="zh-TW"/>
        </w:rPr>
      </w:pPr>
      <w:r w:rsidRPr="00BF6750">
        <w:rPr>
          <w:rFonts w:hint="eastAsia"/>
          <w:color w:val="000000" w:themeColor="text1"/>
          <w:sz w:val="28"/>
          <w:szCs w:val="28"/>
          <w:lang w:val="zh-TW"/>
        </w:rPr>
        <w:t>(三)</w:t>
      </w:r>
      <w:r>
        <w:rPr>
          <w:rFonts w:hint="eastAsia"/>
          <w:color w:val="000000" w:themeColor="text1"/>
          <w:sz w:val="28"/>
          <w:szCs w:val="28"/>
          <w:lang w:val="zh-TW"/>
        </w:rPr>
        <w:t>因應數位化發展趨勢，</w:t>
      </w:r>
      <w:r w:rsidRPr="00BF6750">
        <w:rPr>
          <w:rFonts w:hint="eastAsia"/>
          <w:color w:val="000000" w:themeColor="text1"/>
          <w:sz w:val="28"/>
          <w:szCs w:val="28"/>
          <w:lang w:val="zh-TW"/>
        </w:rPr>
        <w:t>為</w:t>
      </w:r>
      <w:r>
        <w:rPr>
          <w:rFonts w:hint="eastAsia"/>
          <w:color w:val="000000" w:themeColor="text1"/>
          <w:sz w:val="28"/>
          <w:szCs w:val="28"/>
          <w:lang w:val="zh-TW"/>
        </w:rPr>
        <w:t>滿足電子化通知方式之實務需求，並</w:t>
      </w:r>
      <w:r w:rsidRPr="00BF6750">
        <w:rPr>
          <w:rFonts w:hint="eastAsia"/>
          <w:color w:val="000000" w:themeColor="text1"/>
          <w:sz w:val="28"/>
          <w:szCs w:val="28"/>
          <w:lang w:val="zh-TW"/>
        </w:rPr>
        <w:t>優化追繳通知之機制，除現行當面、郵寄及電子郵件等方式外，新增得以手機簡訊及</w:t>
      </w:r>
      <w:r>
        <w:rPr>
          <w:rFonts w:hint="eastAsia"/>
          <w:color w:val="000000" w:themeColor="text1"/>
          <w:sz w:val="28"/>
          <w:szCs w:val="28"/>
          <w:lang w:val="zh-TW"/>
        </w:rPr>
        <w:t>公司</w:t>
      </w:r>
      <w:r w:rsidRPr="00BF6750">
        <w:rPr>
          <w:rFonts w:hint="eastAsia"/>
          <w:color w:val="000000" w:themeColor="text1"/>
          <w:sz w:val="28"/>
          <w:szCs w:val="28"/>
          <w:lang w:val="zh-TW"/>
        </w:rPr>
        <w:t>行動裝置</w:t>
      </w:r>
      <w:r>
        <w:rPr>
          <w:rFonts w:hint="eastAsia"/>
          <w:color w:val="000000" w:themeColor="text1"/>
          <w:sz w:val="28"/>
          <w:szCs w:val="28"/>
          <w:lang w:val="zh-TW"/>
        </w:rPr>
        <w:t>應用軟體</w:t>
      </w:r>
      <w:r w:rsidRPr="00BF6750">
        <w:rPr>
          <w:rFonts w:hint="eastAsia"/>
          <w:color w:val="000000" w:themeColor="text1"/>
          <w:sz w:val="28"/>
          <w:szCs w:val="28"/>
          <w:lang w:val="zh-TW"/>
        </w:rPr>
        <w:t>等電子化通知方式。（修正操作辦法第四十六條）</w:t>
      </w:r>
    </w:p>
    <w:p w14:paraId="42305FEE" w14:textId="77777777" w:rsidR="00D653EF" w:rsidRPr="00BF6750" w:rsidRDefault="00D653EF" w:rsidP="00D653EF">
      <w:pPr>
        <w:pStyle w:val="Default"/>
        <w:spacing w:line="440" w:lineRule="exact"/>
        <w:ind w:leftChars="150" w:left="906" w:hangingChars="195" w:hanging="546"/>
        <w:jc w:val="both"/>
        <w:rPr>
          <w:color w:val="000000" w:themeColor="text1"/>
          <w:sz w:val="28"/>
          <w:szCs w:val="28"/>
          <w:lang w:val="zh-TW"/>
        </w:rPr>
      </w:pPr>
      <w:r w:rsidRPr="00BF6750">
        <w:rPr>
          <w:rFonts w:hint="eastAsia"/>
          <w:color w:val="000000" w:themeColor="text1"/>
          <w:sz w:val="28"/>
          <w:szCs w:val="28"/>
          <w:lang w:val="zh-TW"/>
        </w:rPr>
        <w:t>(四)將興櫃股票納入抵繳擔保品之範圍，暨其抵繳價值之計算標準。（修正操作辦法第五十三條）</w:t>
      </w:r>
    </w:p>
    <w:p w14:paraId="54DD1755" w14:textId="147A690A" w:rsidR="00D653EF" w:rsidRPr="00BF6750" w:rsidRDefault="00D653EF" w:rsidP="00D653EF">
      <w:pPr>
        <w:pStyle w:val="Default"/>
        <w:spacing w:line="440" w:lineRule="exact"/>
        <w:ind w:leftChars="150" w:left="906" w:hangingChars="195" w:hanging="546"/>
        <w:jc w:val="both"/>
        <w:rPr>
          <w:color w:val="000000" w:themeColor="text1"/>
          <w:sz w:val="28"/>
          <w:szCs w:val="28"/>
          <w:lang w:val="zh-TW"/>
        </w:rPr>
      </w:pPr>
      <w:r w:rsidRPr="00BF6750">
        <w:rPr>
          <w:rFonts w:hint="eastAsia"/>
          <w:color w:val="000000" w:themeColor="text1"/>
          <w:sz w:val="28"/>
          <w:szCs w:val="28"/>
          <w:lang w:val="zh-TW"/>
        </w:rPr>
        <w:t>(五)</w:t>
      </w:r>
      <w:r w:rsidRPr="00BF6750">
        <w:rPr>
          <w:color w:val="000000" w:themeColor="text1"/>
          <w:sz w:val="28"/>
          <w:szCs w:val="28"/>
          <w:lang w:val="zh-TW"/>
        </w:rPr>
        <w:t>考量興櫃為報價驅動之議價交易市場</w:t>
      </w:r>
      <w:r w:rsidRPr="00BF6750">
        <w:rPr>
          <w:rFonts w:hint="eastAsia"/>
          <w:color w:val="000000" w:themeColor="text1"/>
          <w:sz w:val="28"/>
          <w:szCs w:val="28"/>
          <w:lang w:val="zh-TW"/>
        </w:rPr>
        <w:t>之特性</w:t>
      </w:r>
      <w:r w:rsidRPr="00BF6750">
        <w:rPr>
          <w:color w:val="000000" w:themeColor="text1"/>
          <w:sz w:val="28"/>
          <w:szCs w:val="28"/>
          <w:lang w:val="zh-TW"/>
        </w:rPr>
        <w:t>，</w:t>
      </w:r>
      <w:r w:rsidR="00EC30A0" w:rsidRPr="00BF6750">
        <w:rPr>
          <w:rFonts w:hint="eastAsia"/>
          <w:color w:val="000000" w:themeColor="text1"/>
          <w:sz w:val="28"/>
          <w:szCs w:val="28"/>
          <w:lang w:val="zh-TW"/>
        </w:rPr>
        <w:t>明訂於</w:t>
      </w:r>
      <w:r w:rsidR="00EC30A0">
        <w:rPr>
          <w:rFonts w:hint="eastAsia"/>
          <w:color w:val="000000" w:themeColor="text1"/>
          <w:sz w:val="28"/>
          <w:szCs w:val="28"/>
          <w:lang w:val="zh-TW"/>
        </w:rPr>
        <w:t>計算</w:t>
      </w:r>
      <w:r w:rsidR="00EC30A0" w:rsidRPr="00BF6750">
        <w:rPr>
          <w:rFonts w:hint="eastAsia"/>
          <w:color w:val="000000" w:themeColor="text1"/>
          <w:sz w:val="28"/>
          <w:szCs w:val="28"/>
          <w:lang w:val="zh-TW"/>
        </w:rPr>
        <w:t>補繳</w:t>
      </w:r>
      <w:r w:rsidR="00EC30A0" w:rsidRPr="00BF6750">
        <w:rPr>
          <w:color w:val="000000" w:themeColor="text1"/>
          <w:sz w:val="28"/>
          <w:szCs w:val="28"/>
          <w:lang w:val="zh-TW"/>
        </w:rPr>
        <w:t>融資自備款、融券保證金</w:t>
      </w:r>
      <w:r w:rsidR="00EC30A0" w:rsidRPr="00BF6750">
        <w:rPr>
          <w:rFonts w:hint="eastAsia"/>
          <w:color w:val="000000" w:themeColor="text1"/>
          <w:sz w:val="28"/>
          <w:szCs w:val="28"/>
          <w:lang w:val="zh-TW"/>
        </w:rPr>
        <w:t>之</w:t>
      </w:r>
      <w:r w:rsidR="00EC30A0" w:rsidRPr="00BF6750">
        <w:rPr>
          <w:color w:val="000000" w:themeColor="text1"/>
          <w:sz w:val="28"/>
          <w:szCs w:val="28"/>
          <w:lang w:val="zh-TW"/>
        </w:rPr>
        <w:t>差額</w:t>
      </w:r>
      <w:r w:rsidR="00EC30A0">
        <w:rPr>
          <w:rFonts w:hint="eastAsia"/>
          <w:color w:val="000000" w:themeColor="text1"/>
          <w:sz w:val="28"/>
          <w:szCs w:val="28"/>
          <w:lang w:val="zh-TW"/>
        </w:rPr>
        <w:t>時</w:t>
      </w:r>
      <w:r w:rsidR="00EC30A0" w:rsidRPr="00BF6750">
        <w:rPr>
          <w:color w:val="000000" w:themeColor="text1"/>
          <w:sz w:val="28"/>
          <w:szCs w:val="28"/>
          <w:lang w:val="zh-TW"/>
        </w:rPr>
        <w:t>興櫃股票計算價格</w:t>
      </w:r>
      <w:r w:rsidR="00EC30A0" w:rsidRPr="00BF6750">
        <w:rPr>
          <w:rFonts w:hint="eastAsia"/>
          <w:color w:val="000000" w:themeColor="text1"/>
          <w:sz w:val="28"/>
          <w:szCs w:val="28"/>
          <w:lang w:val="zh-TW"/>
        </w:rPr>
        <w:t>標準</w:t>
      </w:r>
      <w:r w:rsidRPr="00BF6750">
        <w:rPr>
          <w:color w:val="000000" w:themeColor="text1"/>
          <w:sz w:val="28"/>
          <w:szCs w:val="28"/>
          <w:lang w:val="zh-TW"/>
        </w:rPr>
        <w:t>，</w:t>
      </w:r>
      <w:r w:rsidRPr="00BF6750">
        <w:rPr>
          <w:rFonts w:hint="eastAsia"/>
          <w:color w:val="000000" w:themeColor="text1"/>
          <w:sz w:val="28"/>
          <w:szCs w:val="28"/>
          <w:lang w:val="zh-TW"/>
        </w:rPr>
        <w:t>另亦明訂於</w:t>
      </w:r>
      <w:r w:rsidRPr="00BF6750">
        <w:rPr>
          <w:color w:val="000000" w:themeColor="text1"/>
          <w:sz w:val="28"/>
          <w:szCs w:val="28"/>
          <w:lang w:val="zh-TW"/>
        </w:rPr>
        <w:t>興櫃股票停止買賣或暫停交易</w:t>
      </w:r>
      <w:r w:rsidRPr="00BF6750">
        <w:rPr>
          <w:rFonts w:hint="eastAsia"/>
          <w:color w:val="000000" w:themeColor="text1"/>
          <w:sz w:val="28"/>
          <w:szCs w:val="28"/>
          <w:lang w:val="zh-TW"/>
        </w:rPr>
        <w:t>或當日無成交紀錄時</w:t>
      </w:r>
      <w:r w:rsidRPr="00BF6750">
        <w:rPr>
          <w:color w:val="000000" w:themeColor="text1"/>
          <w:sz w:val="28"/>
          <w:szCs w:val="28"/>
          <w:lang w:val="zh-TW"/>
        </w:rPr>
        <w:t>，</w:t>
      </w:r>
      <w:r w:rsidRPr="00BF6750">
        <w:rPr>
          <w:rFonts w:hint="eastAsia"/>
          <w:color w:val="000000" w:themeColor="text1"/>
          <w:sz w:val="28"/>
          <w:szCs w:val="28"/>
          <w:lang w:val="zh-TW"/>
        </w:rPr>
        <w:t>其</w:t>
      </w:r>
      <w:r w:rsidRPr="00BF6750">
        <w:rPr>
          <w:color w:val="000000" w:themeColor="text1"/>
          <w:sz w:val="28"/>
          <w:szCs w:val="28"/>
          <w:lang w:val="zh-TW"/>
        </w:rPr>
        <w:t>擔保維持率及應行補繳差額之價格計算依據</w:t>
      </w:r>
      <w:r w:rsidRPr="00BF6750">
        <w:rPr>
          <w:rFonts w:hint="eastAsia"/>
          <w:color w:val="000000" w:themeColor="text1"/>
          <w:sz w:val="28"/>
          <w:szCs w:val="28"/>
          <w:lang w:val="zh-TW"/>
        </w:rPr>
        <w:t>。（修正操作辦法第五十四條）</w:t>
      </w:r>
    </w:p>
    <w:p w14:paraId="40D50AF8" w14:textId="77777777" w:rsidR="00D653EF" w:rsidRDefault="00D653EF" w:rsidP="00D653EF">
      <w:pPr>
        <w:pStyle w:val="Default"/>
        <w:spacing w:line="440" w:lineRule="exact"/>
        <w:ind w:leftChars="150" w:left="906" w:hangingChars="195" w:hanging="546"/>
        <w:rPr>
          <w:color w:val="000000" w:themeColor="text1"/>
          <w:sz w:val="28"/>
          <w:szCs w:val="28"/>
          <w:lang w:val="zh-TW"/>
        </w:rPr>
      </w:pPr>
      <w:r w:rsidRPr="00BF6750">
        <w:rPr>
          <w:rFonts w:hint="eastAsia"/>
          <w:color w:val="000000" w:themeColor="text1"/>
          <w:sz w:val="28"/>
          <w:szCs w:val="28"/>
          <w:lang w:val="zh-TW"/>
        </w:rPr>
        <w:t>(六)</w:t>
      </w:r>
      <w:r w:rsidR="00B51239">
        <w:rPr>
          <w:rFonts w:hint="eastAsia"/>
          <w:color w:val="000000" w:themeColor="text1"/>
          <w:sz w:val="28"/>
          <w:szCs w:val="28"/>
          <w:lang w:val="zh-TW"/>
        </w:rPr>
        <w:t>為擴大</w:t>
      </w:r>
      <w:r w:rsidRPr="00BF6750">
        <w:rPr>
          <w:rFonts w:hint="eastAsia"/>
          <w:color w:val="000000" w:themeColor="text1"/>
          <w:sz w:val="28"/>
          <w:szCs w:val="28"/>
          <w:lang w:val="zh-TW"/>
        </w:rPr>
        <w:t>投資人抵繳</w:t>
      </w:r>
      <w:r>
        <w:rPr>
          <w:rFonts w:hint="eastAsia"/>
          <w:color w:val="000000" w:themeColor="text1"/>
          <w:sz w:val="28"/>
          <w:szCs w:val="28"/>
          <w:lang w:val="zh-TW"/>
        </w:rPr>
        <w:t>擔保品之</w:t>
      </w:r>
      <w:r w:rsidRPr="00BF6750">
        <w:rPr>
          <w:rFonts w:hint="eastAsia"/>
          <w:color w:val="000000" w:themeColor="text1"/>
          <w:sz w:val="28"/>
          <w:szCs w:val="28"/>
          <w:lang w:val="zh-TW"/>
        </w:rPr>
        <w:t>選擇，</w:t>
      </w:r>
      <w:r w:rsidR="00B51239">
        <w:rPr>
          <w:rFonts w:hint="eastAsia"/>
          <w:color w:val="000000" w:themeColor="text1"/>
          <w:sz w:val="28"/>
          <w:szCs w:val="28"/>
          <w:lang w:val="zh-TW"/>
        </w:rPr>
        <w:t>爰增列</w:t>
      </w:r>
      <w:r w:rsidRPr="00BF6750">
        <w:rPr>
          <w:rFonts w:hint="eastAsia"/>
          <w:color w:val="000000" w:themeColor="text1"/>
          <w:sz w:val="28"/>
          <w:szCs w:val="28"/>
          <w:lang w:val="zh-TW"/>
        </w:rPr>
        <w:t>零股</w:t>
      </w:r>
      <w:r w:rsidRPr="0070198E">
        <w:rPr>
          <w:rFonts w:hint="eastAsia"/>
          <w:color w:val="000000" w:themeColor="text1"/>
          <w:sz w:val="28"/>
          <w:szCs w:val="28"/>
          <w:lang w:val="zh-TW"/>
        </w:rPr>
        <w:t>及</w:t>
      </w:r>
      <w:r w:rsidRPr="00BF6750">
        <w:rPr>
          <w:rFonts w:hint="eastAsia"/>
          <w:color w:val="000000" w:themeColor="text1"/>
          <w:sz w:val="28"/>
          <w:szCs w:val="28"/>
          <w:lang w:val="zh-TW"/>
        </w:rPr>
        <w:t>興櫃股票</w:t>
      </w:r>
      <w:r w:rsidR="00B51239">
        <w:rPr>
          <w:rFonts w:hint="eastAsia"/>
          <w:color w:val="000000" w:themeColor="text1"/>
          <w:sz w:val="28"/>
          <w:szCs w:val="28"/>
          <w:lang w:val="zh-TW"/>
        </w:rPr>
        <w:t>為</w:t>
      </w:r>
      <w:r w:rsidRPr="00BF6750">
        <w:rPr>
          <w:rFonts w:hint="eastAsia"/>
          <w:color w:val="000000" w:themeColor="text1"/>
          <w:sz w:val="28"/>
          <w:szCs w:val="28"/>
          <w:lang w:val="zh-TW"/>
        </w:rPr>
        <w:t>抵繳擔保品</w:t>
      </w:r>
      <w:r>
        <w:rPr>
          <w:rFonts w:hint="eastAsia"/>
          <w:color w:val="000000" w:themeColor="text1"/>
          <w:sz w:val="28"/>
          <w:szCs w:val="28"/>
          <w:lang w:val="zh-TW"/>
        </w:rPr>
        <w:t>。另考量</w:t>
      </w:r>
      <w:r w:rsidRPr="00BF6750">
        <w:rPr>
          <w:rFonts w:hint="eastAsia"/>
          <w:color w:val="000000" w:themeColor="text1"/>
          <w:sz w:val="28"/>
          <w:szCs w:val="28"/>
          <w:lang w:val="zh-TW"/>
        </w:rPr>
        <w:t>證券商作業負擔及授信風險，</w:t>
      </w:r>
      <w:r>
        <w:rPr>
          <w:rFonts w:hint="eastAsia"/>
          <w:color w:val="000000" w:themeColor="text1"/>
          <w:sz w:val="28"/>
          <w:szCs w:val="28"/>
          <w:lang w:val="zh-TW"/>
        </w:rPr>
        <w:t>賦予</w:t>
      </w:r>
      <w:r w:rsidRPr="00BF6750">
        <w:rPr>
          <w:rFonts w:hint="eastAsia"/>
          <w:color w:val="000000" w:themeColor="text1"/>
          <w:sz w:val="28"/>
          <w:szCs w:val="28"/>
          <w:lang w:val="zh-TW"/>
        </w:rPr>
        <w:t>證券商收受抵繳擔保品之裁量權，明定證券商應訂定各項</w:t>
      </w:r>
      <w:r w:rsidR="00B51239" w:rsidRPr="00BF6750">
        <w:rPr>
          <w:rFonts w:hint="eastAsia"/>
          <w:color w:val="000000" w:themeColor="text1"/>
          <w:sz w:val="28"/>
          <w:szCs w:val="28"/>
          <w:lang w:val="zh-TW"/>
        </w:rPr>
        <w:t>收受</w:t>
      </w:r>
      <w:r w:rsidRPr="00BF6750">
        <w:rPr>
          <w:rFonts w:hint="eastAsia"/>
          <w:color w:val="000000" w:themeColor="text1"/>
          <w:sz w:val="28"/>
          <w:szCs w:val="28"/>
          <w:lang w:val="zh-TW"/>
        </w:rPr>
        <w:t>抵繳擔保品</w:t>
      </w:r>
      <w:r w:rsidR="00B51239">
        <w:rPr>
          <w:rFonts w:hint="eastAsia"/>
          <w:color w:val="000000" w:themeColor="text1"/>
          <w:sz w:val="28"/>
          <w:szCs w:val="28"/>
          <w:lang w:val="zh-TW"/>
        </w:rPr>
        <w:t>之</w:t>
      </w:r>
      <w:r w:rsidRPr="00BF6750">
        <w:rPr>
          <w:rFonts w:hint="eastAsia"/>
          <w:color w:val="000000" w:themeColor="text1"/>
          <w:sz w:val="28"/>
          <w:szCs w:val="28"/>
          <w:lang w:val="zh-TW"/>
        </w:rPr>
        <w:t>具體風險認定標準</w:t>
      </w:r>
      <w:r w:rsidR="00B51239">
        <w:rPr>
          <w:rFonts w:hint="eastAsia"/>
          <w:color w:val="000000" w:themeColor="text1"/>
          <w:sz w:val="28"/>
          <w:szCs w:val="28"/>
          <w:lang w:val="zh-TW"/>
        </w:rPr>
        <w:t>及最低抵繳金額</w:t>
      </w:r>
      <w:r>
        <w:rPr>
          <w:rFonts w:hint="eastAsia"/>
          <w:color w:val="000000" w:themeColor="text1"/>
          <w:sz w:val="28"/>
          <w:szCs w:val="28"/>
          <w:lang w:val="zh-TW"/>
        </w:rPr>
        <w:t>，</w:t>
      </w:r>
      <w:r w:rsidRPr="00BF6750">
        <w:rPr>
          <w:rFonts w:hint="eastAsia"/>
          <w:color w:val="000000" w:themeColor="text1"/>
          <w:sz w:val="28"/>
          <w:szCs w:val="28"/>
          <w:lang w:val="zh-TW"/>
        </w:rPr>
        <w:t>並排除興櫃股票之權值新股作為擔保</w:t>
      </w:r>
      <w:r>
        <w:rPr>
          <w:rFonts w:hint="eastAsia"/>
          <w:color w:val="000000" w:themeColor="text1"/>
          <w:sz w:val="28"/>
          <w:szCs w:val="28"/>
          <w:lang w:val="zh-TW"/>
        </w:rPr>
        <w:t>品</w:t>
      </w:r>
      <w:r w:rsidRPr="00BF6750">
        <w:rPr>
          <w:rFonts w:hint="eastAsia"/>
          <w:color w:val="000000" w:themeColor="text1"/>
          <w:sz w:val="28"/>
          <w:szCs w:val="28"/>
          <w:lang w:val="zh-TW"/>
        </w:rPr>
        <w:t>之</w:t>
      </w:r>
      <w:r>
        <w:rPr>
          <w:rFonts w:hint="eastAsia"/>
          <w:color w:val="000000" w:themeColor="text1"/>
          <w:sz w:val="28"/>
          <w:szCs w:val="28"/>
          <w:lang w:val="zh-TW"/>
        </w:rPr>
        <w:t>規定</w:t>
      </w:r>
      <w:r w:rsidRPr="00BF6750">
        <w:rPr>
          <w:rFonts w:hint="eastAsia"/>
          <w:color w:val="000000" w:themeColor="text1"/>
          <w:sz w:val="28"/>
          <w:szCs w:val="28"/>
          <w:lang w:val="zh-TW"/>
        </w:rPr>
        <w:t>。（修正操作辦法第五十七條）</w:t>
      </w:r>
    </w:p>
    <w:p w14:paraId="4812A5EF" w14:textId="77777777" w:rsidR="00D653EF" w:rsidRPr="00BF6750" w:rsidRDefault="00D653EF" w:rsidP="00D653EF">
      <w:pPr>
        <w:pStyle w:val="Default"/>
        <w:spacing w:line="440" w:lineRule="exact"/>
        <w:ind w:leftChars="150" w:left="906" w:hangingChars="195" w:hanging="546"/>
        <w:rPr>
          <w:color w:val="000000" w:themeColor="text1"/>
          <w:sz w:val="28"/>
          <w:szCs w:val="28"/>
          <w:lang w:val="zh-TW"/>
        </w:rPr>
      </w:pPr>
      <w:r w:rsidRPr="00BF6750">
        <w:rPr>
          <w:rFonts w:hint="eastAsia"/>
          <w:color w:val="000000" w:themeColor="text1"/>
          <w:sz w:val="28"/>
          <w:szCs w:val="28"/>
          <w:lang w:val="zh-TW"/>
        </w:rPr>
        <w:lastRenderedPageBreak/>
        <w:t>(七)</w:t>
      </w:r>
      <w:r>
        <w:rPr>
          <w:rFonts w:hint="eastAsia"/>
          <w:color w:val="000000" w:themeColor="text1"/>
          <w:sz w:val="28"/>
          <w:szCs w:val="28"/>
          <w:lang w:val="zh-TW"/>
        </w:rPr>
        <w:t>考量委託人本人申請非當面抵繳實務作業需求，比照申請現款現券償還融資融券方式，增訂通信及電子化方式申請抵繳之相關規範</w:t>
      </w:r>
      <w:r w:rsidRPr="00BF6750">
        <w:rPr>
          <w:rFonts w:hint="eastAsia"/>
          <w:color w:val="000000" w:themeColor="text1"/>
          <w:sz w:val="28"/>
          <w:szCs w:val="28"/>
          <w:lang w:val="zh-TW"/>
        </w:rPr>
        <w:t>。（修正操作辦法第五十</w:t>
      </w:r>
      <w:r>
        <w:rPr>
          <w:rFonts w:hint="eastAsia"/>
          <w:color w:val="000000" w:themeColor="text1"/>
          <w:sz w:val="28"/>
          <w:szCs w:val="28"/>
          <w:lang w:val="zh-TW"/>
        </w:rPr>
        <w:t>八</w:t>
      </w:r>
      <w:r w:rsidRPr="00BF6750">
        <w:rPr>
          <w:rFonts w:hint="eastAsia"/>
          <w:color w:val="000000" w:themeColor="text1"/>
          <w:sz w:val="28"/>
          <w:szCs w:val="28"/>
          <w:lang w:val="zh-TW"/>
        </w:rPr>
        <w:t>條）</w:t>
      </w:r>
    </w:p>
    <w:p w14:paraId="0E749380" w14:textId="77777777" w:rsidR="00D653EF" w:rsidRPr="00BF6750" w:rsidRDefault="00D653EF" w:rsidP="00D653EF">
      <w:pPr>
        <w:pStyle w:val="Default"/>
        <w:spacing w:line="440" w:lineRule="exact"/>
        <w:ind w:leftChars="150" w:left="906" w:hangingChars="195" w:hanging="546"/>
        <w:rPr>
          <w:color w:val="000000" w:themeColor="text1"/>
          <w:sz w:val="28"/>
          <w:szCs w:val="28"/>
          <w:lang w:val="zh-TW"/>
        </w:rPr>
      </w:pPr>
      <w:r w:rsidRPr="00BF6750">
        <w:rPr>
          <w:rFonts w:hint="eastAsia"/>
          <w:color w:val="000000" w:themeColor="text1"/>
          <w:sz w:val="28"/>
          <w:szCs w:val="28"/>
          <w:lang w:val="zh-TW"/>
        </w:rPr>
        <w:t>(</w:t>
      </w:r>
      <w:r>
        <w:rPr>
          <w:rFonts w:hint="eastAsia"/>
          <w:color w:val="000000" w:themeColor="text1"/>
          <w:sz w:val="28"/>
          <w:szCs w:val="28"/>
          <w:lang w:val="zh-TW"/>
        </w:rPr>
        <w:t>八</w:t>
      </w:r>
      <w:r w:rsidRPr="00BF6750">
        <w:rPr>
          <w:rFonts w:hint="eastAsia"/>
          <w:color w:val="000000" w:themeColor="text1"/>
          <w:sz w:val="28"/>
          <w:szCs w:val="28"/>
          <w:lang w:val="zh-TW"/>
        </w:rPr>
        <w:t>)</w:t>
      </w:r>
      <w:r w:rsidRPr="00BF6750">
        <w:rPr>
          <w:color w:val="000000" w:themeColor="text1"/>
          <w:sz w:val="28"/>
          <w:szCs w:val="28"/>
          <w:lang w:val="zh-TW"/>
        </w:rPr>
        <w:t>考量興櫃為報價驅動之議價交易市場</w:t>
      </w:r>
      <w:r w:rsidRPr="00BF6750">
        <w:rPr>
          <w:rFonts w:hint="eastAsia"/>
          <w:color w:val="000000" w:themeColor="text1"/>
          <w:sz w:val="28"/>
          <w:szCs w:val="28"/>
          <w:lang w:val="zh-TW"/>
        </w:rPr>
        <w:t>之特性</w:t>
      </w:r>
      <w:r w:rsidRPr="00BF6750">
        <w:rPr>
          <w:color w:val="000000" w:themeColor="text1"/>
          <w:sz w:val="28"/>
          <w:szCs w:val="28"/>
          <w:lang w:val="zh-TW"/>
        </w:rPr>
        <w:t>，</w:t>
      </w:r>
      <w:r w:rsidRPr="00BF6750">
        <w:rPr>
          <w:rFonts w:hint="eastAsia"/>
          <w:color w:val="000000" w:themeColor="text1"/>
          <w:sz w:val="28"/>
          <w:szCs w:val="28"/>
          <w:lang w:val="zh-TW"/>
        </w:rPr>
        <w:t>明訂</w:t>
      </w:r>
      <w:r w:rsidRPr="00BF6750">
        <w:rPr>
          <w:color w:val="000000" w:themeColor="text1"/>
          <w:sz w:val="28"/>
          <w:szCs w:val="28"/>
          <w:lang w:val="zh-TW"/>
        </w:rPr>
        <w:t>興櫃股票</w:t>
      </w:r>
      <w:r w:rsidRPr="00BF6750">
        <w:rPr>
          <w:rFonts w:hint="eastAsia"/>
          <w:color w:val="000000" w:themeColor="text1"/>
          <w:sz w:val="28"/>
          <w:szCs w:val="28"/>
          <w:lang w:val="zh-TW"/>
        </w:rPr>
        <w:t>抵繳價值之計算基礎</w:t>
      </w:r>
      <w:r>
        <w:rPr>
          <w:rFonts w:hint="eastAsia"/>
          <w:color w:val="000000" w:themeColor="text1"/>
          <w:sz w:val="28"/>
          <w:szCs w:val="28"/>
          <w:lang w:val="zh-TW"/>
        </w:rPr>
        <w:t>及折價標準</w:t>
      </w:r>
      <w:r w:rsidRPr="00BF6750">
        <w:rPr>
          <w:rFonts w:hint="eastAsia"/>
          <w:color w:val="000000" w:themeColor="text1"/>
          <w:sz w:val="28"/>
          <w:szCs w:val="28"/>
          <w:lang w:val="zh-TW"/>
        </w:rPr>
        <w:t>。（修正操作辦法第五十九條）</w:t>
      </w:r>
    </w:p>
    <w:p w14:paraId="294B4887" w14:textId="77777777" w:rsidR="00D653EF" w:rsidRDefault="00D653EF" w:rsidP="00D653EF">
      <w:pPr>
        <w:pStyle w:val="Default"/>
        <w:spacing w:line="440" w:lineRule="exact"/>
        <w:ind w:leftChars="150" w:left="906" w:hangingChars="195" w:hanging="546"/>
        <w:rPr>
          <w:color w:val="000000" w:themeColor="text1"/>
          <w:sz w:val="28"/>
          <w:szCs w:val="28"/>
          <w:lang w:val="zh-TW"/>
        </w:rPr>
      </w:pPr>
      <w:r w:rsidRPr="00BF6750">
        <w:rPr>
          <w:rFonts w:hint="eastAsia"/>
          <w:color w:val="000000" w:themeColor="text1"/>
          <w:sz w:val="28"/>
          <w:szCs w:val="28"/>
          <w:lang w:val="zh-TW"/>
        </w:rPr>
        <w:t>(</w:t>
      </w:r>
      <w:r>
        <w:rPr>
          <w:rFonts w:hint="eastAsia"/>
          <w:color w:val="000000" w:themeColor="text1"/>
          <w:sz w:val="28"/>
          <w:szCs w:val="28"/>
          <w:lang w:val="zh-TW"/>
        </w:rPr>
        <w:t>九</w:t>
      </w:r>
      <w:r w:rsidRPr="00BF6750">
        <w:rPr>
          <w:rFonts w:hint="eastAsia"/>
          <w:color w:val="000000" w:themeColor="text1"/>
          <w:sz w:val="28"/>
          <w:szCs w:val="28"/>
          <w:lang w:val="zh-TW"/>
        </w:rPr>
        <w:t>)</w:t>
      </w:r>
      <w:r w:rsidRPr="00BF6750">
        <w:rPr>
          <w:color w:val="000000" w:themeColor="text1"/>
          <w:sz w:val="28"/>
          <w:szCs w:val="28"/>
          <w:lang w:val="zh-TW"/>
        </w:rPr>
        <w:t>為確保授信機構</w:t>
      </w:r>
      <w:r w:rsidRPr="00BF6750">
        <w:rPr>
          <w:rFonts w:hint="eastAsia"/>
          <w:color w:val="000000" w:themeColor="text1"/>
          <w:sz w:val="28"/>
          <w:szCs w:val="28"/>
          <w:lang w:val="zh-TW"/>
        </w:rPr>
        <w:t>及</w:t>
      </w:r>
      <w:r>
        <w:rPr>
          <w:rFonts w:hint="eastAsia"/>
          <w:color w:val="000000" w:themeColor="text1"/>
          <w:sz w:val="28"/>
          <w:szCs w:val="28"/>
          <w:lang w:val="zh-TW"/>
        </w:rPr>
        <w:t>委託</w:t>
      </w:r>
      <w:r w:rsidRPr="00BF6750">
        <w:rPr>
          <w:rFonts w:hint="eastAsia"/>
          <w:color w:val="000000" w:themeColor="text1"/>
          <w:sz w:val="28"/>
          <w:szCs w:val="28"/>
          <w:lang w:val="zh-TW"/>
        </w:rPr>
        <w:t>人對於</w:t>
      </w:r>
      <w:r>
        <w:rPr>
          <w:rFonts w:hint="eastAsia"/>
          <w:color w:val="000000" w:themeColor="text1"/>
          <w:sz w:val="28"/>
          <w:szCs w:val="28"/>
          <w:lang w:val="zh-TW"/>
        </w:rPr>
        <w:t>更換</w:t>
      </w:r>
      <w:r w:rsidRPr="00BF6750">
        <w:rPr>
          <w:color w:val="000000" w:themeColor="text1"/>
          <w:sz w:val="28"/>
          <w:szCs w:val="28"/>
          <w:lang w:val="zh-TW"/>
        </w:rPr>
        <w:t>擔保品</w:t>
      </w:r>
      <w:r w:rsidRPr="00BF6750">
        <w:rPr>
          <w:rFonts w:hint="eastAsia"/>
          <w:color w:val="000000" w:themeColor="text1"/>
          <w:sz w:val="28"/>
          <w:szCs w:val="28"/>
          <w:lang w:val="zh-TW"/>
        </w:rPr>
        <w:t>均</w:t>
      </w:r>
      <w:r w:rsidRPr="00BF6750">
        <w:rPr>
          <w:color w:val="000000" w:themeColor="text1"/>
          <w:sz w:val="28"/>
          <w:szCs w:val="28"/>
          <w:lang w:val="zh-TW"/>
        </w:rPr>
        <w:t>有</w:t>
      </w:r>
      <w:r w:rsidRPr="00BF6750">
        <w:rPr>
          <w:rFonts w:hint="eastAsia"/>
          <w:color w:val="000000" w:themeColor="text1"/>
          <w:sz w:val="28"/>
          <w:szCs w:val="28"/>
          <w:lang w:val="zh-TW"/>
        </w:rPr>
        <w:t>充</w:t>
      </w:r>
      <w:r w:rsidRPr="00BF6750">
        <w:rPr>
          <w:color w:val="000000" w:themeColor="text1"/>
          <w:sz w:val="28"/>
          <w:szCs w:val="28"/>
          <w:lang w:val="zh-TW"/>
        </w:rPr>
        <w:t>足作業時間，</w:t>
      </w:r>
      <w:r w:rsidRPr="00BF6750">
        <w:rPr>
          <w:rFonts w:hint="eastAsia"/>
          <w:color w:val="000000" w:themeColor="text1"/>
          <w:sz w:val="28"/>
          <w:szCs w:val="28"/>
          <w:lang w:val="zh-TW"/>
        </w:rPr>
        <w:t>明訂</w:t>
      </w:r>
      <w:r w:rsidRPr="00BF6750">
        <w:rPr>
          <w:color w:val="000000" w:themeColor="text1"/>
          <w:sz w:val="28"/>
          <w:szCs w:val="28"/>
          <w:lang w:val="zh-TW"/>
        </w:rPr>
        <w:t>興櫃股票</w:t>
      </w:r>
      <w:r w:rsidRPr="00BF6750">
        <w:rPr>
          <w:rFonts w:hint="eastAsia"/>
          <w:color w:val="000000" w:themeColor="text1"/>
          <w:sz w:val="28"/>
          <w:szCs w:val="28"/>
          <w:lang w:val="zh-TW"/>
        </w:rPr>
        <w:t>更換抵繳擔保品之通知</w:t>
      </w:r>
      <w:r w:rsidRPr="00BF6750">
        <w:rPr>
          <w:color w:val="000000" w:themeColor="text1"/>
          <w:sz w:val="28"/>
          <w:szCs w:val="28"/>
          <w:lang w:val="zh-TW"/>
        </w:rPr>
        <w:t>作業</w:t>
      </w:r>
      <w:r w:rsidRPr="00BF6750">
        <w:rPr>
          <w:rFonts w:hint="eastAsia"/>
          <w:color w:val="000000" w:themeColor="text1"/>
          <w:sz w:val="28"/>
          <w:szCs w:val="28"/>
          <w:lang w:val="zh-TW"/>
        </w:rPr>
        <w:t>及其時點。</w:t>
      </w:r>
      <w:r w:rsidRPr="00BF6750">
        <w:rPr>
          <w:color w:val="000000" w:themeColor="text1"/>
          <w:sz w:val="28"/>
          <w:szCs w:val="28"/>
          <w:lang w:val="zh-TW"/>
        </w:rPr>
        <w:t>(</w:t>
      </w:r>
      <w:r w:rsidRPr="00BF6750">
        <w:rPr>
          <w:rFonts w:hint="eastAsia"/>
          <w:color w:val="000000" w:themeColor="text1"/>
          <w:sz w:val="28"/>
          <w:szCs w:val="28"/>
          <w:lang w:val="zh-TW"/>
        </w:rPr>
        <w:t>修正操作辦法第六十條</w:t>
      </w:r>
      <w:r w:rsidRPr="00BF6750">
        <w:rPr>
          <w:color w:val="000000" w:themeColor="text1"/>
          <w:sz w:val="28"/>
          <w:szCs w:val="28"/>
          <w:lang w:val="zh-TW"/>
        </w:rPr>
        <w:t xml:space="preserve">) </w:t>
      </w:r>
    </w:p>
    <w:p w14:paraId="482A3145" w14:textId="77777777" w:rsidR="00D653EF" w:rsidRPr="00BF6750" w:rsidRDefault="00D653EF" w:rsidP="00D653EF">
      <w:pPr>
        <w:pStyle w:val="Default"/>
        <w:spacing w:line="440" w:lineRule="exact"/>
        <w:ind w:leftChars="150" w:left="906" w:hangingChars="195" w:hanging="546"/>
        <w:rPr>
          <w:color w:val="000000" w:themeColor="text1"/>
          <w:sz w:val="28"/>
          <w:szCs w:val="28"/>
          <w:lang w:val="zh-TW"/>
        </w:rPr>
      </w:pPr>
      <w:r w:rsidRPr="00BF6750">
        <w:rPr>
          <w:rFonts w:hint="eastAsia"/>
          <w:color w:val="000000" w:themeColor="text1"/>
          <w:sz w:val="28"/>
          <w:szCs w:val="28"/>
          <w:lang w:val="zh-TW"/>
        </w:rPr>
        <w:t>(</w:t>
      </w:r>
      <w:r>
        <w:rPr>
          <w:rFonts w:hint="eastAsia"/>
          <w:color w:val="000000" w:themeColor="text1"/>
          <w:sz w:val="28"/>
          <w:szCs w:val="28"/>
          <w:lang w:val="zh-TW"/>
        </w:rPr>
        <w:t>十</w:t>
      </w:r>
      <w:r w:rsidRPr="00BF6750">
        <w:rPr>
          <w:rFonts w:hint="eastAsia"/>
          <w:color w:val="000000" w:themeColor="text1"/>
          <w:sz w:val="28"/>
          <w:szCs w:val="28"/>
          <w:lang w:val="zh-TW"/>
        </w:rPr>
        <w:t>)</w:t>
      </w:r>
      <w:r>
        <w:rPr>
          <w:rFonts w:hint="eastAsia"/>
          <w:color w:val="000000" w:themeColor="text1"/>
          <w:sz w:val="28"/>
          <w:szCs w:val="28"/>
          <w:lang w:val="zh-TW"/>
        </w:rPr>
        <w:t>配合</w:t>
      </w:r>
      <w:r w:rsidRPr="00BF6750">
        <w:rPr>
          <w:rFonts w:hint="eastAsia"/>
          <w:color w:val="000000" w:themeColor="text1"/>
          <w:sz w:val="28"/>
          <w:szCs w:val="28"/>
          <w:lang w:val="zh-TW"/>
        </w:rPr>
        <w:t>操作辦法第</w:t>
      </w:r>
      <w:r>
        <w:rPr>
          <w:rFonts w:hint="eastAsia"/>
          <w:color w:val="000000" w:themeColor="text1"/>
          <w:sz w:val="28"/>
          <w:szCs w:val="28"/>
          <w:lang w:val="zh-TW"/>
        </w:rPr>
        <w:t>五十七</w:t>
      </w:r>
      <w:r w:rsidRPr="00BF6750">
        <w:rPr>
          <w:rFonts w:hint="eastAsia"/>
          <w:color w:val="000000" w:themeColor="text1"/>
          <w:sz w:val="28"/>
          <w:szCs w:val="28"/>
          <w:lang w:val="zh-TW"/>
        </w:rPr>
        <w:t>條</w:t>
      </w:r>
      <w:r>
        <w:rPr>
          <w:rFonts w:hint="eastAsia"/>
          <w:color w:val="000000" w:themeColor="text1"/>
          <w:sz w:val="28"/>
          <w:szCs w:val="28"/>
          <w:lang w:val="zh-TW"/>
        </w:rPr>
        <w:t>項次調整</w:t>
      </w:r>
      <w:r w:rsidRPr="00BF6750">
        <w:rPr>
          <w:color w:val="000000" w:themeColor="text1"/>
          <w:sz w:val="28"/>
          <w:szCs w:val="28"/>
          <w:lang w:val="zh-TW"/>
        </w:rPr>
        <w:t>，</w:t>
      </w:r>
      <w:r w:rsidRPr="00BF6750">
        <w:rPr>
          <w:rFonts w:hint="eastAsia"/>
          <w:color w:val="000000" w:themeColor="text1"/>
          <w:sz w:val="28"/>
          <w:szCs w:val="28"/>
          <w:lang w:val="zh-TW"/>
        </w:rPr>
        <w:t>酌修文字以臻明確。(修正操作辦法第六十</w:t>
      </w:r>
      <w:r>
        <w:rPr>
          <w:rFonts w:hint="eastAsia"/>
          <w:color w:val="000000" w:themeColor="text1"/>
          <w:sz w:val="28"/>
          <w:szCs w:val="28"/>
          <w:lang w:val="zh-TW"/>
        </w:rPr>
        <w:t>四</w:t>
      </w:r>
      <w:r w:rsidRPr="00BF6750">
        <w:rPr>
          <w:rFonts w:hint="eastAsia"/>
          <w:color w:val="000000" w:themeColor="text1"/>
          <w:sz w:val="28"/>
          <w:szCs w:val="28"/>
          <w:lang w:val="zh-TW"/>
        </w:rPr>
        <w:t>條)</w:t>
      </w:r>
    </w:p>
    <w:p w14:paraId="15B0EFD2" w14:textId="77777777" w:rsidR="00D653EF" w:rsidRPr="00BF6750" w:rsidRDefault="00D653EF" w:rsidP="00D653EF">
      <w:pPr>
        <w:pStyle w:val="Default"/>
        <w:spacing w:line="440" w:lineRule="exact"/>
        <w:ind w:leftChars="150" w:left="1144" w:hangingChars="280" w:hanging="784"/>
        <w:jc w:val="both"/>
        <w:rPr>
          <w:color w:val="000000" w:themeColor="text1"/>
          <w:sz w:val="28"/>
          <w:szCs w:val="28"/>
        </w:rPr>
      </w:pPr>
      <w:r w:rsidRPr="00BF6750">
        <w:rPr>
          <w:rFonts w:hint="eastAsia"/>
          <w:color w:val="000000" w:themeColor="text1"/>
          <w:sz w:val="28"/>
          <w:szCs w:val="28"/>
          <w:lang w:val="zh-TW"/>
        </w:rPr>
        <w:t>(</w:t>
      </w:r>
      <w:r>
        <w:rPr>
          <w:rFonts w:hint="eastAsia"/>
          <w:color w:val="000000" w:themeColor="text1"/>
          <w:sz w:val="28"/>
          <w:szCs w:val="28"/>
          <w:lang w:val="zh-TW"/>
        </w:rPr>
        <w:t>十一</w:t>
      </w:r>
      <w:r w:rsidRPr="00BF6750">
        <w:rPr>
          <w:rFonts w:hint="eastAsia"/>
          <w:color w:val="000000" w:themeColor="text1"/>
          <w:sz w:val="28"/>
          <w:szCs w:val="28"/>
          <w:lang w:val="zh-TW"/>
        </w:rPr>
        <w:t>)有關停止過戶之規範主體係得為融資融券之有價證券，而非發行公司本身</w:t>
      </w:r>
      <w:r w:rsidR="000D002B">
        <w:rPr>
          <w:rFonts w:hint="eastAsia"/>
          <w:color w:val="000000" w:themeColor="text1"/>
          <w:sz w:val="28"/>
          <w:szCs w:val="28"/>
          <w:lang w:val="zh-TW"/>
        </w:rPr>
        <w:t>；</w:t>
      </w:r>
      <w:r w:rsidRPr="00BF6750">
        <w:rPr>
          <w:rFonts w:hint="eastAsia"/>
          <w:color w:val="000000" w:themeColor="text1"/>
          <w:sz w:val="28"/>
          <w:szCs w:val="28"/>
          <w:lang w:val="zh-TW"/>
        </w:rPr>
        <w:t>另得為融資融券之有價證券</w:t>
      </w:r>
      <w:r w:rsidR="00B51239">
        <w:rPr>
          <w:rFonts w:hint="eastAsia"/>
          <w:color w:val="000000" w:themeColor="text1"/>
          <w:sz w:val="28"/>
          <w:szCs w:val="28"/>
          <w:lang w:val="zh-TW"/>
        </w:rPr>
        <w:t>，除</w:t>
      </w:r>
      <w:r w:rsidR="00B51239" w:rsidRPr="00BF6750">
        <w:rPr>
          <w:rFonts w:hint="eastAsia"/>
          <w:color w:val="000000" w:themeColor="text1"/>
          <w:sz w:val="28"/>
          <w:szCs w:val="28"/>
          <w:lang w:val="zh-TW"/>
        </w:rPr>
        <w:t>上市(櫃)公司所發行之普通股股票</w:t>
      </w:r>
      <w:r w:rsidR="00B51239">
        <w:rPr>
          <w:rFonts w:hint="eastAsia"/>
          <w:color w:val="000000" w:themeColor="text1"/>
          <w:sz w:val="28"/>
          <w:szCs w:val="28"/>
          <w:lang w:val="zh-TW"/>
        </w:rPr>
        <w:t>外，</w:t>
      </w:r>
      <w:r w:rsidRPr="00BF6750">
        <w:rPr>
          <w:rFonts w:hint="eastAsia"/>
          <w:color w:val="000000" w:themeColor="text1"/>
          <w:sz w:val="28"/>
          <w:szCs w:val="28"/>
          <w:lang w:val="zh-TW"/>
        </w:rPr>
        <w:t>尚有臺灣存託憑證及受益憑證，爰酌修文字以臻明確。</w:t>
      </w:r>
      <w:r w:rsidRPr="00BF6750">
        <w:rPr>
          <w:color w:val="000000" w:themeColor="text1"/>
          <w:sz w:val="28"/>
          <w:szCs w:val="28"/>
          <w:lang w:val="zh-TW"/>
        </w:rPr>
        <w:t>(</w:t>
      </w:r>
      <w:r w:rsidRPr="00BF6750">
        <w:rPr>
          <w:rFonts w:hint="eastAsia"/>
          <w:color w:val="000000" w:themeColor="text1"/>
          <w:sz w:val="28"/>
          <w:szCs w:val="28"/>
          <w:lang w:val="zh-TW"/>
        </w:rPr>
        <w:t>修正操作辦法第七十六、七十九、八十一條</w:t>
      </w:r>
      <w:r w:rsidRPr="00BF6750">
        <w:rPr>
          <w:color w:val="000000" w:themeColor="text1"/>
          <w:sz w:val="28"/>
          <w:szCs w:val="28"/>
          <w:lang w:val="zh-TW"/>
        </w:rPr>
        <w:t>)</w:t>
      </w:r>
      <w:r w:rsidRPr="00BF6750">
        <w:rPr>
          <w:color w:val="000000" w:themeColor="text1"/>
          <w:sz w:val="28"/>
          <w:szCs w:val="28"/>
        </w:rPr>
        <w:t xml:space="preserve"> </w:t>
      </w:r>
    </w:p>
    <w:p w14:paraId="3FED1744" w14:textId="77777777" w:rsidR="00D653EF" w:rsidRPr="00BF6750" w:rsidRDefault="00D653EF" w:rsidP="00D653EF">
      <w:pPr>
        <w:pStyle w:val="Default"/>
        <w:spacing w:line="440" w:lineRule="exact"/>
        <w:ind w:leftChars="50" w:left="1836" w:hangingChars="613" w:hanging="1716"/>
        <w:rPr>
          <w:color w:val="000000" w:themeColor="text1"/>
          <w:sz w:val="28"/>
          <w:szCs w:val="28"/>
          <w:lang w:val="zh-TW"/>
        </w:rPr>
      </w:pPr>
      <w:r w:rsidRPr="00BF6750">
        <w:rPr>
          <w:rFonts w:hint="eastAsia"/>
          <w:color w:val="000000" w:themeColor="text1"/>
          <w:sz w:val="28"/>
          <w:szCs w:val="28"/>
          <w:lang w:val="zh-TW"/>
        </w:rPr>
        <w:t>二、「契約書」部分:</w:t>
      </w:r>
    </w:p>
    <w:p w14:paraId="05A26C97" w14:textId="77777777" w:rsidR="00D653EF" w:rsidRPr="00BF6750" w:rsidRDefault="00D653EF" w:rsidP="00D653EF">
      <w:pPr>
        <w:pStyle w:val="Default"/>
        <w:spacing w:line="440" w:lineRule="exact"/>
        <w:ind w:leftChars="150" w:left="906" w:hangingChars="195" w:hanging="546"/>
        <w:rPr>
          <w:color w:val="000000" w:themeColor="text1"/>
          <w:sz w:val="28"/>
          <w:szCs w:val="28"/>
          <w:lang w:val="zh-TW"/>
        </w:rPr>
      </w:pPr>
      <w:r w:rsidRPr="00BF6750">
        <w:rPr>
          <w:rFonts w:hint="eastAsia"/>
          <w:color w:val="000000" w:themeColor="text1"/>
          <w:sz w:val="28"/>
          <w:szCs w:val="28"/>
          <w:lang w:val="zh-TW"/>
        </w:rPr>
        <w:t>(一)配合操作辦法第五十七條之調整</w:t>
      </w:r>
      <w:r w:rsidRPr="00BF6750">
        <w:rPr>
          <w:color w:val="000000" w:themeColor="text1"/>
          <w:sz w:val="28"/>
          <w:szCs w:val="28"/>
          <w:lang w:val="zh-TW"/>
        </w:rPr>
        <w:t>，爰排除興櫃股票之權值新股作為擔保</w:t>
      </w:r>
      <w:r>
        <w:rPr>
          <w:rFonts w:hint="eastAsia"/>
          <w:color w:val="000000" w:themeColor="text1"/>
          <w:sz w:val="28"/>
          <w:szCs w:val="28"/>
          <w:lang w:val="zh-TW"/>
        </w:rPr>
        <w:t>品</w:t>
      </w:r>
      <w:r w:rsidRPr="00BF6750">
        <w:rPr>
          <w:color w:val="000000" w:themeColor="text1"/>
          <w:sz w:val="28"/>
          <w:szCs w:val="28"/>
          <w:lang w:val="zh-TW"/>
        </w:rPr>
        <w:t>之規定</w:t>
      </w:r>
      <w:r w:rsidRPr="00BF6750">
        <w:rPr>
          <w:rFonts w:hint="eastAsia"/>
          <w:color w:val="000000" w:themeColor="text1"/>
          <w:sz w:val="28"/>
          <w:szCs w:val="28"/>
          <w:lang w:val="zh-TW"/>
        </w:rPr>
        <w:t>。(修正契約書第四條)</w:t>
      </w:r>
      <w:r w:rsidRPr="00BF6750">
        <w:rPr>
          <w:color w:val="000000" w:themeColor="text1"/>
          <w:sz w:val="28"/>
          <w:szCs w:val="28"/>
          <w:lang w:val="zh-TW"/>
        </w:rPr>
        <w:t xml:space="preserve"> </w:t>
      </w:r>
    </w:p>
    <w:p w14:paraId="432C8B03" w14:textId="77777777" w:rsidR="00D653EF" w:rsidRPr="00BF6750" w:rsidRDefault="00D653EF" w:rsidP="00D653EF">
      <w:pPr>
        <w:pStyle w:val="Default"/>
        <w:spacing w:line="440" w:lineRule="exact"/>
        <w:ind w:leftChars="150" w:left="906" w:hangingChars="195" w:hanging="546"/>
        <w:jc w:val="both"/>
        <w:rPr>
          <w:color w:val="000000" w:themeColor="text1"/>
          <w:sz w:val="28"/>
          <w:szCs w:val="28"/>
          <w:lang w:val="zh-TW"/>
        </w:rPr>
      </w:pPr>
      <w:r w:rsidRPr="00BF6750">
        <w:rPr>
          <w:rFonts w:hint="eastAsia"/>
          <w:color w:val="000000" w:themeColor="text1"/>
          <w:sz w:val="28"/>
          <w:szCs w:val="28"/>
          <w:lang w:val="zh-TW"/>
        </w:rPr>
        <w:t>(二)為使法規用語一致</w:t>
      </w:r>
      <w:r w:rsidRPr="00BF6750">
        <w:rPr>
          <w:color w:val="000000" w:themeColor="text1"/>
          <w:sz w:val="28"/>
          <w:szCs w:val="28"/>
          <w:lang w:val="zh-TW"/>
        </w:rPr>
        <w:t>，</w:t>
      </w:r>
      <w:r w:rsidRPr="00BF6750">
        <w:rPr>
          <w:rFonts w:hint="eastAsia"/>
          <w:color w:val="000000" w:themeColor="text1"/>
          <w:sz w:val="28"/>
          <w:szCs w:val="28"/>
          <w:lang w:val="zh-TW"/>
        </w:rPr>
        <w:t>酌修文字以臻明確。(修正契約書第十條)</w:t>
      </w:r>
      <w:r w:rsidRPr="00BF6750">
        <w:rPr>
          <w:color w:val="000000" w:themeColor="text1"/>
          <w:sz w:val="28"/>
          <w:szCs w:val="28"/>
          <w:lang w:val="zh-TW"/>
        </w:rPr>
        <w:t xml:space="preserve"> </w:t>
      </w:r>
    </w:p>
    <w:p w14:paraId="1EDDC7BC" w14:textId="77777777" w:rsidR="00D653EF" w:rsidRDefault="00D653EF" w:rsidP="00D653EF">
      <w:pPr>
        <w:pStyle w:val="Default"/>
        <w:spacing w:line="440" w:lineRule="exact"/>
        <w:ind w:leftChars="150" w:left="906" w:hangingChars="195" w:hanging="546"/>
        <w:jc w:val="both"/>
        <w:rPr>
          <w:color w:val="000000" w:themeColor="text1"/>
          <w:sz w:val="28"/>
          <w:szCs w:val="28"/>
          <w:lang w:val="zh-TW"/>
        </w:rPr>
      </w:pPr>
      <w:r w:rsidRPr="00BF6750">
        <w:rPr>
          <w:rFonts w:hint="eastAsia"/>
          <w:color w:val="000000" w:themeColor="text1"/>
          <w:sz w:val="28"/>
          <w:szCs w:val="28"/>
          <w:lang w:val="zh-TW"/>
        </w:rPr>
        <w:t>(三)配合操作辦法第七十六</w:t>
      </w:r>
      <w:r w:rsidRPr="00BF6750">
        <w:rPr>
          <w:rFonts w:ascii="微軟正黑體" w:eastAsia="微軟正黑體" w:hAnsi="微軟正黑體" w:hint="eastAsia"/>
          <w:color w:val="000000" w:themeColor="text1"/>
          <w:sz w:val="28"/>
          <w:szCs w:val="28"/>
          <w:lang w:val="zh-TW"/>
        </w:rPr>
        <w:t>、</w:t>
      </w:r>
      <w:r w:rsidRPr="00BF6750">
        <w:rPr>
          <w:rFonts w:hint="eastAsia"/>
          <w:color w:val="000000" w:themeColor="text1"/>
          <w:sz w:val="28"/>
          <w:szCs w:val="28"/>
          <w:lang w:val="zh-TW"/>
        </w:rPr>
        <w:t>七十九條之調整，有關停止過戶之規範主體係得為融資融券之有價證券，而非發行公司本身；另得為融資融券之有價證券</w:t>
      </w:r>
      <w:r w:rsidR="000D002B">
        <w:rPr>
          <w:rFonts w:hint="eastAsia"/>
          <w:color w:val="000000" w:themeColor="text1"/>
          <w:sz w:val="28"/>
          <w:szCs w:val="28"/>
          <w:lang w:val="zh-TW"/>
        </w:rPr>
        <w:t>除</w:t>
      </w:r>
      <w:r w:rsidR="000D002B" w:rsidRPr="00BF6750">
        <w:rPr>
          <w:rFonts w:hint="eastAsia"/>
          <w:color w:val="000000" w:themeColor="text1"/>
          <w:sz w:val="28"/>
          <w:szCs w:val="28"/>
          <w:lang w:val="zh-TW"/>
        </w:rPr>
        <w:t>上市(櫃)公司所發行之普通股股票</w:t>
      </w:r>
      <w:r w:rsidR="000D002B">
        <w:rPr>
          <w:rFonts w:hint="eastAsia"/>
          <w:color w:val="000000" w:themeColor="text1"/>
          <w:sz w:val="28"/>
          <w:szCs w:val="28"/>
          <w:lang w:val="zh-TW"/>
        </w:rPr>
        <w:t>外，</w:t>
      </w:r>
      <w:r w:rsidRPr="00BF6750">
        <w:rPr>
          <w:rFonts w:hint="eastAsia"/>
          <w:color w:val="000000" w:themeColor="text1"/>
          <w:sz w:val="28"/>
          <w:szCs w:val="28"/>
          <w:lang w:val="zh-TW"/>
        </w:rPr>
        <w:t>尚有臺灣存託憑證及受益憑證，爰酌修文字以臻明確。(修正契約書第十一條)</w:t>
      </w:r>
      <w:r w:rsidRPr="00BF6750">
        <w:rPr>
          <w:color w:val="000000" w:themeColor="text1"/>
          <w:sz w:val="28"/>
          <w:szCs w:val="28"/>
          <w:lang w:val="zh-TW"/>
        </w:rPr>
        <w:t xml:space="preserve"> </w:t>
      </w:r>
    </w:p>
    <w:p w14:paraId="3D444260" w14:textId="77777777" w:rsidR="00D653EF" w:rsidRPr="00BF6750" w:rsidRDefault="00D653EF" w:rsidP="00D653EF">
      <w:pPr>
        <w:pStyle w:val="Default"/>
        <w:spacing w:line="440" w:lineRule="exact"/>
        <w:ind w:leftChars="150" w:left="906" w:hangingChars="195" w:hanging="546"/>
        <w:jc w:val="both"/>
        <w:rPr>
          <w:color w:val="000000" w:themeColor="text1"/>
          <w:sz w:val="28"/>
          <w:szCs w:val="28"/>
          <w:lang w:val="zh-TW"/>
        </w:rPr>
      </w:pPr>
      <w:r w:rsidRPr="00BF6750">
        <w:rPr>
          <w:rFonts w:hint="eastAsia"/>
          <w:color w:val="000000" w:themeColor="text1"/>
          <w:sz w:val="28"/>
          <w:szCs w:val="28"/>
          <w:lang w:val="zh-TW"/>
        </w:rPr>
        <w:t>(四)配合操作辦法第四十</w:t>
      </w:r>
      <w:r>
        <w:rPr>
          <w:rFonts w:hint="eastAsia"/>
          <w:color w:val="000000" w:themeColor="text1"/>
          <w:sz w:val="28"/>
          <w:szCs w:val="28"/>
          <w:lang w:val="zh-TW"/>
        </w:rPr>
        <w:t>五</w:t>
      </w:r>
      <w:r w:rsidRPr="00BF6750">
        <w:rPr>
          <w:rFonts w:hint="eastAsia"/>
          <w:color w:val="000000" w:themeColor="text1"/>
          <w:sz w:val="28"/>
          <w:szCs w:val="28"/>
          <w:lang w:val="zh-TW"/>
        </w:rPr>
        <w:t>條之調整</w:t>
      </w:r>
      <w:r>
        <w:rPr>
          <w:rFonts w:hint="eastAsia"/>
          <w:color w:val="000000" w:themeColor="text1"/>
          <w:sz w:val="28"/>
          <w:szCs w:val="28"/>
          <w:lang w:val="zh-TW"/>
        </w:rPr>
        <w:t>，</w:t>
      </w:r>
      <w:r w:rsidRPr="003F4C99">
        <w:rPr>
          <w:rFonts w:hint="eastAsia"/>
          <w:color w:val="000000" w:themeColor="text1"/>
          <w:sz w:val="28"/>
          <w:szCs w:val="28"/>
          <w:lang w:val="zh-TW"/>
        </w:rPr>
        <w:t>明定委託人變更電子郵件信箱位址及個人手機號碼時，應即通知證券商，</w:t>
      </w:r>
      <w:r>
        <w:rPr>
          <w:rFonts w:hint="eastAsia"/>
          <w:color w:val="000000" w:themeColor="text1"/>
          <w:sz w:val="28"/>
          <w:szCs w:val="28"/>
          <w:lang w:val="zh-TW"/>
        </w:rPr>
        <w:t>另並增訂委託人得以電子憑證認證方式申請變更部分基本資料等規範</w:t>
      </w:r>
      <w:r w:rsidRPr="003F4C99">
        <w:rPr>
          <w:rFonts w:hint="eastAsia"/>
          <w:color w:val="000000" w:themeColor="text1"/>
          <w:sz w:val="28"/>
          <w:szCs w:val="28"/>
          <w:lang w:val="zh-TW"/>
        </w:rPr>
        <w:t>。</w:t>
      </w:r>
      <w:r w:rsidRPr="00BF6750">
        <w:rPr>
          <w:rFonts w:hint="eastAsia"/>
          <w:color w:val="000000" w:themeColor="text1"/>
          <w:sz w:val="28"/>
          <w:szCs w:val="28"/>
          <w:lang w:val="zh-TW"/>
        </w:rPr>
        <w:t>(修正契約書第十</w:t>
      </w:r>
      <w:r>
        <w:rPr>
          <w:rFonts w:hint="eastAsia"/>
          <w:color w:val="000000" w:themeColor="text1"/>
          <w:sz w:val="28"/>
          <w:szCs w:val="28"/>
          <w:lang w:val="zh-TW"/>
        </w:rPr>
        <w:t>四</w:t>
      </w:r>
      <w:r w:rsidRPr="00BF6750">
        <w:rPr>
          <w:rFonts w:hint="eastAsia"/>
          <w:color w:val="000000" w:themeColor="text1"/>
          <w:sz w:val="28"/>
          <w:szCs w:val="28"/>
          <w:lang w:val="zh-TW"/>
        </w:rPr>
        <w:t>條)</w:t>
      </w:r>
      <w:r>
        <w:rPr>
          <w:rFonts w:hint="eastAsia"/>
          <w:color w:val="000000" w:themeColor="text1"/>
          <w:sz w:val="28"/>
          <w:szCs w:val="28"/>
          <w:lang w:val="zh-TW"/>
        </w:rPr>
        <w:t>。</w:t>
      </w:r>
    </w:p>
    <w:p w14:paraId="7EB336DC" w14:textId="77777777" w:rsidR="00D653EF" w:rsidRPr="00BF6750" w:rsidRDefault="00D653EF" w:rsidP="00D653EF">
      <w:pPr>
        <w:pStyle w:val="Default"/>
        <w:spacing w:line="440" w:lineRule="exact"/>
        <w:ind w:leftChars="150" w:left="906" w:hangingChars="195" w:hanging="546"/>
        <w:jc w:val="both"/>
        <w:rPr>
          <w:color w:val="000000" w:themeColor="text1"/>
          <w:sz w:val="28"/>
          <w:szCs w:val="28"/>
          <w:lang w:val="zh-TW"/>
        </w:rPr>
      </w:pPr>
      <w:r w:rsidRPr="00BF6750">
        <w:rPr>
          <w:rFonts w:hint="eastAsia"/>
          <w:color w:val="000000" w:themeColor="text1"/>
          <w:sz w:val="28"/>
          <w:szCs w:val="28"/>
          <w:lang w:val="zh-TW"/>
        </w:rPr>
        <w:t>(</w:t>
      </w:r>
      <w:r>
        <w:rPr>
          <w:rFonts w:hint="eastAsia"/>
          <w:color w:val="000000" w:themeColor="text1"/>
          <w:sz w:val="28"/>
          <w:szCs w:val="28"/>
          <w:lang w:val="zh-TW"/>
        </w:rPr>
        <w:t>五</w:t>
      </w:r>
      <w:r w:rsidRPr="00BF6750">
        <w:rPr>
          <w:rFonts w:hint="eastAsia"/>
          <w:color w:val="000000" w:themeColor="text1"/>
          <w:sz w:val="28"/>
          <w:szCs w:val="28"/>
          <w:lang w:val="zh-TW"/>
        </w:rPr>
        <w:t>)配合操作辦法第四十六條之調整，為優化追繳通知之機制，除現行當面、郵寄及電子郵件等方式外，新增得以手機簡訊及</w:t>
      </w:r>
      <w:r>
        <w:rPr>
          <w:rFonts w:hint="eastAsia"/>
          <w:color w:val="000000" w:themeColor="text1"/>
          <w:sz w:val="28"/>
          <w:szCs w:val="28"/>
          <w:lang w:val="zh-TW"/>
        </w:rPr>
        <w:t>公司</w:t>
      </w:r>
      <w:r w:rsidRPr="00BF6750">
        <w:rPr>
          <w:rFonts w:hint="eastAsia"/>
          <w:color w:val="000000" w:themeColor="text1"/>
          <w:sz w:val="28"/>
          <w:szCs w:val="28"/>
          <w:lang w:val="zh-TW"/>
        </w:rPr>
        <w:t>行動裝置</w:t>
      </w:r>
      <w:r>
        <w:rPr>
          <w:rFonts w:hint="eastAsia"/>
          <w:color w:val="000000" w:themeColor="text1"/>
          <w:sz w:val="28"/>
          <w:szCs w:val="28"/>
          <w:lang w:val="zh-TW"/>
        </w:rPr>
        <w:t>應用軟體</w:t>
      </w:r>
      <w:r w:rsidRPr="00BF6750">
        <w:rPr>
          <w:rFonts w:hint="eastAsia"/>
          <w:color w:val="000000" w:themeColor="text1"/>
          <w:sz w:val="28"/>
          <w:szCs w:val="28"/>
          <w:lang w:val="zh-TW"/>
        </w:rPr>
        <w:t>等電子化通知方式修正文字以臻明確。(修正契約書第十五條)</w:t>
      </w:r>
    </w:p>
    <w:p w14:paraId="3C4C9BE5" w14:textId="77777777" w:rsidR="00D653EF" w:rsidRDefault="00D653EF" w:rsidP="00D653EF">
      <w:pPr>
        <w:widowControl/>
        <w:suppressAutoHyphens w:val="0"/>
        <w:rPr>
          <w:rFonts w:ascii="標楷體" w:eastAsia="標楷體" w:hAnsi="標楷體"/>
          <w:sz w:val="32"/>
          <w:szCs w:val="32"/>
        </w:rPr>
      </w:pPr>
    </w:p>
    <w:p w14:paraId="62057156" w14:textId="77777777" w:rsidR="00B51239" w:rsidRDefault="00B51239">
      <w:pPr>
        <w:widowControl/>
        <w:suppressAutoHyphens w:val="0"/>
        <w:rPr>
          <w:rFonts w:ascii="標楷體" w:eastAsia="標楷體" w:hAnsi="標楷體"/>
          <w:sz w:val="32"/>
          <w:szCs w:val="32"/>
        </w:rPr>
      </w:pPr>
      <w:r>
        <w:rPr>
          <w:rFonts w:ascii="標楷體" w:eastAsia="標楷體" w:hAnsi="標楷體"/>
          <w:sz w:val="32"/>
          <w:szCs w:val="32"/>
        </w:rPr>
        <w:br w:type="page"/>
      </w:r>
    </w:p>
    <w:p w14:paraId="05D9E595" w14:textId="77777777" w:rsidR="00774AED" w:rsidRDefault="00DC08BB" w:rsidP="00774AED">
      <w:pPr>
        <w:spacing w:line="400" w:lineRule="exact"/>
        <w:jc w:val="center"/>
        <w:rPr>
          <w:rFonts w:ascii="標楷體" w:eastAsia="標楷體" w:hAnsi="標楷體"/>
          <w:sz w:val="32"/>
          <w:szCs w:val="32"/>
        </w:rPr>
      </w:pPr>
      <w:r>
        <w:rPr>
          <w:rFonts w:ascii="標楷體" w:eastAsia="標楷體" w:hAnsi="標楷體"/>
          <w:sz w:val="32"/>
          <w:szCs w:val="32"/>
        </w:rPr>
        <w:lastRenderedPageBreak/>
        <w:t>證券商辦理有價證券買賣融資融券業務操作辦法</w:t>
      </w:r>
    </w:p>
    <w:p w14:paraId="134949D7" w14:textId="77524F81" w:rsidR="00020800" w:rsidRDefault="00DC08BB" w:rsidP="00774AED">
      <w:pPr>
        <w:spacing w:line="400" w:lineRule="exact"/>
        <w:jc w:val="center"/>
        <w:rPr>
          <w:rFonts w:ascii="標楷體" w:eastAsia="標楷體" w:hAnsi="標楷體"/>
          <w:sz w:val="32"/>
          <w:szCs w:val="32"/>
        </w:rPr>
      </w:pPr>
      <w:r>
        <w:rPr>
          <w:rFonts w:ascii="標楷體" w:eastAsia="標楷體" w:hAnsi="標楷體"/>
          <w:sz w:val="32"/>
          <w:szCs w:val="32"/>
        </w:rPr>
        <w:t>部分條文修正條文對照表</w:t>
      </w:r>
    </w:p>
    <w:tbl>
      <w:tblPr>
        <w:tblW w:w="5000" w:type="pct"/>
        <w:tblCellMar>
          <w:left w:w="10" w:type="dxa"/>
          <w:right w:w="10" w:type="dxa"/>
        </w:tblCellMar>
        <w:tblLook w:val="0000" w:firstRow="0" w:lastRow="0" w:firstColumn="0" w:lastColumn="0" w:noHBand="0" w:noVBand="0"/>
      </w:tblPr>
      <w:tblGrid>
        <w:gridCol w:w="3215"/>
        <w:gridCol w:w="3212"/>
        <w:gridCol w:w="3201"/>
      </w:tblGrid>
      <w:tr w:rsidR="00020800" w14:paraId="324640FB" w14:textId="77777777" w:rsidTr="00E84026">
        <w:trPr>
          <w:tblHeader/>
        </w:trPr>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2863B" w14:textId="77777777" w:rsidR="00020800" w:rsidRDefault="00DC08BB">
            <w:pPr>
              <w:spacing w:line="360" w:lineRule="exact"/>
              <w:jc w:val="center"/>
              <w:rPr>
                <w:rFonts w:ascii="標楷體" w:eastAsia="標楷體" w:hAnsi="標楷體"/>
                <w:szCs w:val="24"/>
              </w:rPr>
            </w:pPr>
            <w:r>
              <w:rPr>
                <w:rFonts w:ascii="標楷體" w:eastAsia="標楷體" w:hAnsi="標楷體"/>
                <w:szCs w:val="24"/>
              </w:rPr>
              <w:t>修正條文</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4906D" w14:textId="77777777" w:rsidR="00020800" w:rsidRDefault="00DC08BB">
            <w:pPr>
              <w:spacing w:line="360" w:lineRule="exact"/>
              <w:jc w:val="center"/>
              <w:rPr>
                <w:rFonts w:ascii="標楷體" w:eastAsia="標楷體" w:hAnsi="標楷體"/>
                <w:szCs w:val="24"/>
              </w:rPr>
            </w:pPr>
            <w:r>
              <w:rPr>
                <w:rFonts w:ascii="標楷體" w:eastAsia="標楷體" w:hAnsi="標楷體"/>
                <w:szCs w:val="24"/>
              </w:rPr>
              <w:t>現行條文</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57D57" w14:textId="77777777" w:rsidR="00020800" w:rsidRDefault="00DC08BB">
            <w:pPr>
              <w:spacing w:line="360" w:lineRule="exact"/>
              <w:jc w:val="center"/>
              <w:rPr>
                <w:rFonts w:ascii="標楷體" w:eastAsia="標楷體" w:hAnsi="標楷體"/>
                <w:szCs w:val="24"/>
              </w:rPr>
            </w:pPr>
            <w:r>
              <w:rPr>
                <w:rFonts w:ascii="標楷體" w:eastAsia="標楷體" w:hAnsi="標楷體"/>
                <w:szCs w:val="24"/>
              </w:rPr>
              <w:t>說明</w:t>
            </w:r>
          </w:p>
        </w:tc>
      </w:tr>
      <w:tr w:rsidR="00774AED" w14:paraId="5935069B"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7B6DF" w14:textId="77777777" w:rsidR="00C2306E" w:rsidRPr="00230C46" w:rsidRDefault="00C2306E" w:rsidP="00C2306E">
            <w:pPr>
              <w:spacing w:line="360" w:lineRule="exact"/>
              <w:jc w:val="both"/>
              <w:rPr>
                <w:rFonts w:ascii="標楷體" w:eastAsia="標楷體" w:hAnsi="標楷體"/>
                <w:bCs/>
                <w:color w:val="000000" w:themeColor="text1"/>
                <w:szCs w:val="24"/>
              </w:rPr>
            </w:pPr>
            <w:r w:rsidRPr="00230C46">
              <w:rPr>
                <w:rFonts w:ascii="標楷體" w:eastAsia="標楷體" w:hAnsi="標楷體" w:hint="eastAsia"/>
                <w:bCs/>
                <w:color w:val="000000" w:themeColor="text1"/>
                <w:szCs w:val="24"/>
              </w:rPr>
              <w:t>第二十二條</w:t>
            </w:r>
          </w:p>
          <w:p w14:paraId="106F731D" w14:textId="77777777" w:rsidR="00C2306E" w:rsidRPr="00C2306E" w:rsidRDefault="008C02AC" w:rsidP="00C2306E">
            <w:pPr>
              <w:spacing w:line="360" w:lineRule="exact"/>
              <w:ind w:firstLine="480"/>
              <w:jc w:val="both"/>
              <w:rPr>
                <w:rFonts w:ascii="標楷體" w:eastAsia="標楷體" w:hAnsi="標楷體"/>
                <w:bCs/>
                <w:szCs w:val="24"/>
              </w:rPr>
            </w:pPr>
            <w:r w:rsidRPr="008C02AC">
              <w:rPr>
                <w:rFonts w:ascii="標楷體" w:eastAsia="標楷體" w:hAnsi="標楷體" w:hint="eastAsia"/>
                <w:bCs/>
                <w:szCs w:val="24"/>
              </w:rPr>
              <w:t>得為融資融券交易之上市(櫃)有價證券，有有價證券得為融資融券標準第四條第一項第一至七款、第十一款及第五條第一項第一至三款、第七款規定所列之情事者，除下列第一款上市(櫃)股票、臺灣存託憑證變更交易方法或停止買賣或受益憑證停止買賣，或第八款經證券交易所或櫃檯買賣中心監視業務督導會報決議暫停者外，證券交易所或櫃檯買賣中心即自公告日之次一營業日起暫停融資融券交易</w:t>
            </w:r>
            <w:r w:rsidR="00F80BB5" w:rsidRPr="00F80BB5">
              <w:rPr>
                <w:rFonts w:ascii="標楷體" w:eastAsia="標楷體" w:hAnsi="標楷體" w:hint="eastAsia"/>
                <w:bCs/>
                <w:szCs w:val="24"/>
              </w:rPr>
              <w:t>：</w:t>
            </w:r>
          </w:p>
          <w:p w14:paraId="1E9FDACE"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一、</w:t>
            </w:r>
            <w:r w:rsidR="007656BE" w:rsidRPr="007656BE">
              <w:rPr>
                <w:rFonts w:ascii="標楷體" w:eastAsia="標楷體" w:hAnsi="標楷體" w:hint="eastAsia"/>
                <w:bCs/>
                <w:szCs w:val="24"/>
              </w:rPr>
              <w:t>上市(櫃)股票、臺灣存託憑證變更交易方法或停止買賣或終止上市(櫃)，或受益憑證停止買賣或終止上市(櫃)者，證券交易所或櫃檯買賣中心公告股票、臺灣存託憑證變更交易方法或停止買賣或受益憑證停止買賣時，併同公告自事由生效日起，暫停該有價證券融資融券交易；證券交易所或櫃檯買賣中心公告股票、臺灣存託憑證及受益憑證終止上市(櫃)時，併同公告暫停該有價證券融資融券交易。但有第七十八條但書情事之一者或因發行公司減資或</w:t>
            </w:r>
            <w:r w:rsidR="007656BE" w:rsidRPr="007656BE">
              <w:rPr>
                <w:rFonts w:ascii="標楷體" w:eastAsia="標楷體" w:hAnsi="標楷體" w:hint="eastAsia"/>
                <w:bCs/>
                <w:szCs w:val="24"/>
              </w:rPr>
              <w:lastRenderedPageBreak/>
              <w:t>其他原因致新舊有價證券權利義務不同換發有價證券而停止買賣者，不在此限</w:t>
            </w:r>
            <w:r w:rsidR="000C7590" w:rsidRPr="000C7590">
              <w:rPr>
                <w:rFonts w:ascii="標楷體" w:eastAsia="標楷體" w:hAnsi="標楷體" w:hint="eastAsia"/>
                <w:bCs/>
                <w:szCs w:val="24"/>
              </w:rPr>
              <w:t>。</w:t>
            </w:r>
          </w:p>
          <w:p w14:paraId="7599DE4F"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二、</w:t>
            </w:r>
            <w:r w:rsidR="00E727D8" w:rsidRPr="00E727D8">
              <w:rPr>
                <w:rFonts w:ascii="標楷體" w:eastAsia="標楷體" w:hAnsi="標楷體" w:hint="eastAsia"/>
                <w:bCs/>
                <w:szCs w:val="24"/>
              </w:rPr>
              <w:t>證券投資信託事業未依規定按期申報並公告證券投資信託基金財務報告，或經理證券投資信託基金之證券投資信託事業有證券投資信託及顧問法第九十六條第一項之情事者，證券交易所或櫃檯買賣中心即公告暫停該受益憑證融資融券交易</w:t>
            </w:r>
            <w:r w:rsidR="000C7590" w:rsidRPr="000C7590">
              <w:rPr>
                <w:rFonts w:ascii="標楷體" w:eastAsia="標楷體" w:hAnsi="標楷體" w:hint="eastAsia"/>
                <w:bCs/>
                <w:szCs w:val="24"/>
              </w:rPr>
              <w:t>。</w:t>
            </w:r>
          </w:p>
          <w:p w14:paraId="2AF275DC"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三、</w:t>
            </w:r>
            <w:r w:rsidR="00E727D8" w:rsidRPr="00E727D8">
              <w:rPr>
                <w:rFonts w:ascii="標楷體" w:eastAsia="標楷體" w:hAnsi="標楷體" w:hint="eastAsia"/>
                <w:bCs/>
                <w:szCs w:val="24"/>
              </w:rPr>
              <w:t>期貨信託事業未依規定按期申報並公告期貨信託基金財務報告，或經理該指數股票型期貨信託基金之期貨信託事業有期貨信託事業管理規則第三十八條第一項之情事者，證券交易所或櫃檯買賣中心即公告暫停該受益憑證融資融券交易。</w:t>
            </w:r>
          </w:p>
          <w:p w14:paraId="32A047D3"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四、</w:t>
            </w:r>
            <w:r w:rsidR="0018695E" w:rsidRPr="0018695E">
              <w:rPr>
                <w:rFonts w:ascii="標楷體" w:eastAsia="標楷體" w:hAnsi="標楷體" w:hint="eastAsia"/>
                <w:bCs/>
                <w:szCs w:val="24"/>
              </w:rPr>
              <w:t>上市(櫃)股票每股面額屬新臺幣十元者，證券交易所或櫃檯買賣中心分別於每會計年度之年度、第一季、第二季及第三季財務報告公告並申報期限截止日後之第五個營業日，</w:t>
            </w:r>
            <w:r w:rsidR="00316AAF" w:rsidRPr="0018695E">
              <w:rPr>
                <w:rFonts w:ascii="標楷體" w:eastAsia="標楷體" w:hAnsi="標楷體" w:hint="eastAsia"/>
                <w:bCs/>
                <w:szCs w:val="24"/>
              </w:rPr>
              <w:t>審</w:t>
            </w:r>
            <w:r w:rsidR="004365C9" w:rsidRPr="004365C9">
              <w:rPr>
                <w:rFonts w:ascii="標楷體" w:eastAsia="標楷體" w:hAnsi="標楷體" w:hint="eastAsia"/>
                <w:bCs/>
                <w:color w:val="FF0000"/>
                <w:szCs w:val="24"/>
                <w:u w:val="single"/>
              </w:rPr>
              <w:t>閱</w:t>
            </w:r>
            <w:r w:rsidR="00316AAF">
              <w:rPr>
                <w:rFonts w:ascii="標楷體" w:eastAsia="標楷體" w:hAnsi="標楷體" w:hint="eastAsia"/>
                <w:bCs/>
                <w:color w:val="000000" w:themeColor="text1"/>
                <w:szCs w:val="24"/>
              </w:rPr>
              <w:t>其</w:t>
            </w:r>
            <w:r w:rsidR="0018695E" w:rsidRPr="0018695E">
              <w:rPr>
                <w:rFonts w:ascii="標楷體" w:eastAsia="標楷體" w:hAnsi="標楷體" w:hint="eastAsia"/>
                <w:bCs/>
                <w:szCs w:val="24"/>
              </w:rPr>
              <w:t>最近期依規定公告申報之財務報告，其每股淨值低於票面者，即公告暫停該股票融資融券交</w:t>
            </w:r>
            <w:r w:rsidR="0018695E" w:rsidRPr="0018695E">
              <w:rPr>
                <w:rFonts w:ascii="標楷體" w:eastAsia="標楷體" w:hAnsi="標楷體" w:hint="eastAsia"/>
                <w:bCs/>
                <w:szCs w:val="24"/>
              </w:rPr>
              <w:lastRenderedPageBreak/>
              <w:t>易。無面額或每股面額非屬新臺幣十元者，其財務報告顯示有累積虧損者，亦同。</w:t>
            </w:r>
          </w:p>
          <w:p w14:paraId="49F02765"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五、</w:t>
            </w:r>
            <w:r w:rsidR="000C7590" w:rsidRPr="000C7590">
              <w:rPr>
                <w:rFonts w:ascii="標楷體" w:eastAsia="標楷體" w:hAnsi="標楷體" w:hint="eastAsia"/>
                <w:bCs/>
                <w:szCs w:val="24"/>
              </w:rPr>
              <w:t>臺灣存託憑證所表彰外國有價證券有累積虧損者，證券交易所依外國發行人所屬國及上市地國法令規定應公告及向主管機關、證券交易所或證券市場申報之期限後之第三個月之最後營業日，</w:t>
            </w:r>
            <w:r w:rsidR="00BA2BD2" w:rsidRPr="00BA2BD2">
              <w:rPr>
                <w:rFonts w:ascii="標楷體" w:eastAsia="標楷體" w:hAnsi="標楷體" w:hint="eastAsia"/>
                <w:bCs/>
                <w:color w:val="FF0000"/>
                <w:szCs w:val="24"/>
                <w:u w:val="single"/>
              </w:rPr>
              <w:t>審</w:t>
            </w:r>
            <w:r w:rsidR="004365C9">
              <w:rPr>
                <w:rFonts w:ascii="標楷體" w:eastAsia="標楷體" w:hAnsi="標楷體" w:hint="eastAsia"/>
                <w:bCs/>
                <w:color w:val="FF0000"/>
                <w:szCs w:val="24"/>
                <w:u w:val="single"/>
              </w:rPr>
              <w:t>閱</w:t>
            </w:r>
            <w:r w:rsidR="0021251A" w:rsidRPr="0021251A">
              <w:rPr>
                <w:rFonts w:ascii="標楷體" w:eastAsia="標楷體" w:hAnsi="標楷體" w:hint="eastAsia"/>
                <w:bCs/>
                <w:color w:val="000000" w:themeColor="text1"/>
                <w:szCs w:val="24"/>
              </w:rPr>
              <w:t>經</w:t>
            </w:r>
            <w:r w:rsidR="000C7590" w:rsidRPr="000C7590">
              <w:rPr>
                <w:rFonts w:ascii="標楷體" w:eastAsia="標楷體" w:hAnsi="標楷體" w:hint="eastAsia"/>
                <w:bCs/>
                <w:szCs w:val="24"/>
              </w:rPr>
              <w:t>會計師查核簽證之最近期年度合併財務報告或經會計師核閱之半年度合併財務報告顯示有累積虧損，即公告暫停該存託憑證融資融券交易。</w:t>
            </w:r>
          </w:p>
          <w:p w14:paraId="1D241AF2"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六、</w:t>
            </w:r>
            <w:r w:rsidR="0018695E" w:rsidRPr="0018695E">
              <w:rPr>
                <w:rFonts w:ascii="標楷體" w:eastAsia="標楷體" w:hAnsi="標楷體" w:hint="eastAsia"/>
                <w:bCs/>
                <w:szCs w:val="24"/>
              </w:rPr>
              <w:t>臺灣存託憑證上市單位數經兌回不足六千萬個單位數者，證券交易所即於次一營業日公告暫停該存託憑證融資融券交易。</w:t>
            </w:r>
          </w:p>
          <w:p w14:paraId="0D2A73CF"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七、</w:t>
            </w:r>
            <w:r w:rsidR="002843FF" w:rsidRPr="002843FF">
              <w:rPr>
                <w:rFonts w:ascii="標楷體" w:eastAsia="標楷體" w:hAnsi="標楷體" w:hint="eastAsia"/>
                <w:bCs/>
                <w:szCs w:val="24"/>
              </w:rPr>
              <w:t>上市有價證券單日買賣違約申報金額累計達新臺幣二億元以上，或上櫃股票單日買賣違約申報金額累計達新臺幣五千萬元以上，且當日融資或融券餘額達該上市(櫃)股份或單位數百分之十五以上時，證券交易所或櫃檯買賣中心即於次一營業日公告暫停該股票、臺灣存託憑證融資融券交易。</w:t>
            </w:r>
          </w:p>
          <w:p w14:paraId="30A98106"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lastRenderedPageBreak/>
              <w:t>八、</w:t>
            </w:r>
            <w:r w:rsidR="002843FF" w:rsidRPr="002843FF">
              <w:rPr>
                <w:rFonts w:ascii="標楷體" w:eastAsia="標楷體" w:hAnsi="標楷體" w:hint="eastAsia"/>
                <w:bCs/>
                <w:szCs w:val="24"/>
              </w:rPr>
              <w:t>經證券交易所或櫃檯買賣中心監視業務督導會報決議或有其他不宜情事者，證券交易所或櫃檯買賣中心即公告暫停該有價證券融資融券交易。</w:t>
            </w:r>
          </w:p>
          <w:p w14:paraId="71C79F30" w14:textId="77777777" w:rsidR="00774AED" w:rsidRPr="00C53B28"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九、</w:t>
            </w:r>
            <w:r w:rsidR="002843FF" w:rsidRPr="002843FF">
              <w:rPr>
                <w:rFonts w:ascii="標楷體" w:eastAsia="標楷體" w:hAnsi="標楷體" w:hint="eastAsia"/>
                <w:bCs/>
                <w:szCs w:val="24"/>
              </w:rPr>
              <w:t>指數股票型期貨信託基金受益憑證，有臺灣證券交易所股份有限公司受益憑證買賣辦法第二十三條第一項或財團法人中華民國證券櫃檯買賣中心指數股票型基金受益憑證買賣辦法第十六條第一項規定情事者，該受益憑證於證券交易所或櫃檯買賣中心公告後次一營業日起暫停融資融券交易。</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2F6BE" w14:textId="77777777" w:rsidR="00C2306E" w:rsidRPr="00230C46" w:rsidRDefault="00C2306E" w:rsidP="00C2306E">
            <w:pPr>
              <w:spacing w:line="360" w:lineRule="exact"/>
              <w:jc w:val="both"/>
              <w:rPr>
                <w:rFonts w:ascii="標楷體" w:eastAsia="標楷體" w:hAnsi="標楷體"/>
                <w:bCs/>
                <w:color w:val="000000" w:themeColor="text1"/>
                <w:szCs w:val="24"/>
              </w:rPr>
            </w:pPr>
            <w:r w:rsidRPr="00230C46">
              <w:rPr>
                <w:rFonts w:ascii="標楷體" w:eastAsia="標楷體" w:hAnsi="標楷體" w:hint="eastAsia"/>
                <w:bCs/>
                <w:color w:val="000000" w:themeColor="text1"/>
                <w:szCs w:val="24"/>
              </w:rPr>
              <w:lastRenderedPageBreak/>
              <w:t>第二十二條</w:t>
            </w:r>
          </w:p>
          <w:p w14:paraId="483085B4" w14:textId="77777777" w:rsidR="00C2306E" w:rsidRPr="00C2306E" w:rsidRDefault="007D1992" w:rsidP="00C2306E">
            <w:pPr>
              <w:spacing w:line="360" w:lineRule="exact"/>
              <w:ind w:firstLine="480"/>
              <w:jc w:val="both"/>
              <w:rPr>
                <w:rFonts w:ascii="標楷體" w:eastAsia="標楷體" w:hAnsi="標楷體"/>
                <w:bCs/>
                <w:szCs w:val="24"/>
              </w:rPr>
            </w:pPr>
            <w:r w:rsidRPr="007D1992">
              <w:rPr>
                <w:rFonts w:ascii="標楷體" w:eastAsia="標楷體" w:hAnsi="標楷體" w:hint="eastAsia"/>
                <w:bCs/>
                <w:szCs w:val="24"/>
              </w:rPr>
              <w:t>得為融資融券交易之上市(櫃)有價證券，有有價證券得為融資融券標準第四條第一項第一至七款、第十一款及第五條第一項第一至三款、第七款規定所列之情事者，除下列第一款上市(櫃)股票、臺灣存託憑證變更交易方法或停止買賣或受益憑證停止買賣，或第八款經證券交易所或櫃檯買賣中心監視業務督導會報決議暫停者外，證券交易所或櫃檯買賣中心即自公告日之次一營業日起暫停融資融券交易</w:t>
            </w:r>
            <w:r w:rsidR="000C7590" w:rsidRPr="000C7590">
              <w:rPr>
                <w:rFonts w:ascii="標楷體" w:eastAsia="標楷體" w:hAnsi="標楷體" w:hint="eastAsia"/>
                <w:bCs/>
                <w:szCs w:val="24"/>
              </w:rPr>
              <w:t>：</w:t>
            </w:r>
          </w:p>
          <w:p w14:paraId="08862A74"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一、</w:t>
            </w:r>
            <w:r w:rsidR="007D1992" w:rsidRPr="007D1992">
              <w:rPr>
                <w:rFonts w:ascii="標楷體" w:eastAsia="標楷體" w:hAnsi="標楷體" w:hint="eastAsia"/>
                <w:bCs/>
                <w:szCs w:val="24"/>
              </w:rPr>
              <w:t>上市(櫃)股票、臺灣存託憑證變更交易方法或停止買賣或終止上市(櫃)，或受益憑證停止買賣或終止上市(櫃)者，證券交易所或櫃檯買賣中心公告股票、臺灣存託憑證變更交易方法或停止買賣或受益憑證停止買賣時，併同公告自事由生效日起，暫停該有價證券融資融券交易；證券交易所或櫃檯買賣中心公告股票、臺灣存託憑證及受益憑證終止上市(櫃)時，併同公告暫停該有價證券融資融券交易。但有第七十八條但書情事之一者或因發行公司減資或</w:t>
            </w:r>
            <w:r w:rsidR="007D1992" w:rsidRPr="007D1992">
              <w:rPr>
                <w:rFonts w:ascii="標楷體" w:eastAsia="標楷體" w:hAnsi="標楷體" w:hint="eastAsia"/>
                <w:bCs/>
                <w:szCs w:val="24"/>
              </w:rPr>
              <w:lastRenderedPageBreak/>
              <w:t>其他原因致新舊有價證券權利義務不同換發有價證券而停止買賣者，不在此限</w:t>
            </w:r>
            <w:r w:rsidR="000C7590" w:rsidRPr="000C7590">
              <w:rPr>
                <w:rFonts w:ascii="標楷體" w:eastAsia="標楷體" w:hAnsi="標楷體" w:hint="eastAsia"/>
                <w:bCs/>
                <w:szCs w:val="24"/>
              </w:rPr>
              <w:t>。</w:t>
            </w:r>
          </w:p>
          <w:p w14:paraId="1E175260"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二、</w:t>
            </w:r>
            <w:r w:rsidR="00E727D8" w:rsidRPr="00E727D8">
              <w:rPr>
                <w:rFonts w:ascii="標楷體" w:eastAsia="標楷體" w:hAnsi="標楷體" w:hint="eastAsia"/>
                <w:bCs/>
                <w:szCs w:val="24"/>
              </w:rPr>
              <w:t>證券投資信託事業未依規定按期申報並公告證券投資信託基金財務報告，或經理證券投資信託基金之證券投資信託事業有證券投資信託及顧問法第九十六條第一項之情事者，證券交易所或櫃檯買賣中心即公告暫停該受益憑證融資融券交易</w:t>
            </w:r>
            <w:r w:rsidR="000C7590" w:rsidRPr="000C7590">
              <w:rPr>
                <w:rFonts w:ascii="標楷體" w:eastAsia="標楷體" w:hAnsi="標楷體" w:hint="eastAsia"/>
                <w:bCs/>
                <w:szCs w:val="24"/>
              </w:rPr>
              <w:t>。</w:t>
            </w:r>
          </w:p>
          <w:p w14:paraId="7FBFE31F"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三、</w:t>
            </w:r>
            <w:r w:rsidR="00E727D8" w:rsidRPr="00E727D8">
              <w:rPr>
                <w:rFonts w:ascii="標楷體" w:eastAsia="標楷體" w:hAnsi="標楷體" w:hint="eastAsia"/>
                <w:bCs/>
                <w:szCs w:val="24"/>
              </w:rPr>
              <w:t>期貨信託事業未依規定按期申報並公告期貨信託基金財務報告，或經理該指數股票型期貨信託基金之期貨信託事業有期貨信託事業管理規則第三十八條第一項之情事者，證券交易所或櫃檯買賣中心即公告暫停該受益憑證融資融券交易。</w:t>
            </w:r>
          </w:p>
          <w:p w14:paraId="7F790994"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四、</w:t>
            </w:r>
            <w:r w:rsidR="0018695E" w:rsidRPr="0018695E">
              <w:rPr>
                <w:rFonts w:ascii="標楷體" w:eastAsia="標楷體" w:hAnsi="標楷體" w:hint="eastAsia"/>
                <w:bCs/>
                <w:szCs w:val="24"/>
              </w:rPr>
              <w:t>上市(櫃)股票每股面額屬新臺幣十元者，證券交易所或櫃檯買賣中心分別於每會計年度之年度、第一季、第二季及第三季財務報告公告並申報期限截止日後之第五個營業日，審</w:t>
            </w:r>
            <w:r w:rsidR="0018695E" w:rsidRPr="008275FA">
              <w:rPr>
                <w:rFonts w:ascii="標楷體" w:eastAsia="標楷體" w:hAnsi="標楷體" w:hint="eastAsia"/>
                <w:bCs/>
                <w:color w:val="000000" w:themeColor="text1"/>
                <w:szCs w:val="24"/>
              </w:rPr>
              <w:t>核</w:t>
            </w:r>
            <w:r w:rsidR="0018695E" w:rsidRPr="0018695E">
              <w:rPr>
                <w:rFonts w:ascii="標楷體" w:eastAsia="標楷體" w:hAnsi="標楷體" w:hint="eastAsia"/>
                <w:bCs/>
                <w:szCs w:val="24"/>
              </w:rPr>
              <w:t>其最近期依規定公告申報之財務報告，其每股淨值低於票面者，即公告暫停該股票融資融券交</w:t>
            </w:r>
            <w:r w:rsidR="0018695E" w:rsidRPr="0018695E">
              <w:rPr>
                <w:rFonts w:ascii="標楷體" w:eastAsia="標楷體" w:hAnsi="標楷體" w:hint="eastAsia"/>
                <w:bCs/>
                <w:szCs w:val="24"/>
              </w:rPr>
              <w:lastRenderedPageBreak/>
              <w:t>易。無面額或每股面額非屬新臺幣十元者，其財務報告顯示有累積虧損者，亦同。</w:t>
            </w:r>
          </w:p>
          <w:p w14:paraId="61717391"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五、</w:t>
            </w:r>
            <w:r w:rsidR="00BA2BD2" w:rsidRPr="00BA2BD2">
              <w:rPr>
                <w:rFonts w:ascii="標楷體" w:eastAsia="標楷體" w:hAnsi="標楷體" w:hint="eastAsia"/>
                <w:bCs/>
                <w:szCs w:val="24"/>
              </w:rPr>
              <w:t>臺灣存託憑證所表彰外國有價證券有累積虧損者，證券交易所依外國發行人所屬國及上市地國法令規定應公告及向主管機關、證券交易所或證券市場申報之期限後之第三個月之最後營業日，</w:t>
            </w:r>
            <w:r w:rsidR="00BA2BD2" w:rsidRPr="0021251A">
              <w:rPr>
                <w:rFonts w:ascii="標楷體" w:eastAsia="標楷體" w:hAnsi="標楷體" w:hint="eastAsia"/>
                <w:bCs/>
                <w:color w:val="000000" w:themeColor="text1"/>
                <w:szCs w:val="24"/>
              </w:rPr>
              <w:t>經</w:t>
            </w:r>
            <w:r w:rsidR="00BA2BD2" w:rsidRPr="00BA2BD2">
              <w:rPr>
                <w:rFonts w:ascii="標楷體" w:eastAsia="標楷體" w:hAnsi="標楷體" w:hint="eastAsia"/>
                <w:bCs/>
                <w:szCs w:val="24"/>
              </w:rPr>
              <w:t>會計師查核簽證之最近期年度合併財務報告或經會計師核閱之半年度合併財務報告顯示有累積虧損，即公告暫停該存託憑證融資融券交易</w:t>
            </w:r>
            <w:r w:rsidR="000C7590" w:rsidRPr="000C7590">
              <w:rPr>
                <w:rFonts w:ascii="標楷體" w:eastAsia="標楷體" w:hAnsi="標楷體" w:hint="eastAsia"/>
                <w:bCs/>
                <w:szCs w:val="24"/>
              </w:rPr>
              <w:t>。</w:t>
            </w:r>
          </w:p>
          <w:p w14:paraId="586B64CE"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六、</w:t>
            </w:r>
            <w:r w:rsidR="0018695E" w:rsidRPr="0018695E">
              <w:rPr>
                <w:rFonts w:ascii="標楷體" w:eastAsia="標楷體" w:hAnsi="標楷體" w:hint="eastAsia"/>
                <w:bCs/>
                <w:szCs w:val="24"/>
              </w:rPr>
              <w:t>臺灣存託憑證上市單位數經兌回不足六千萬個單位數者，證券交易所即於次一營業日公告暫停該存託憑證融資融券交易。</w:t>
            </w:r>
          </w:p>
          <w:p w14:paraId="2B071897" w14:textId="77777777" w:rsidR="00E83168" w:rsidRPr="00E83168"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七、</w:t>
            </w:r>
            <w:r w:rsidR="002843FF" w:rsidRPr="002843FF">
              <w:rPr>
                <w:rFonts w:ascii="標楷體" w:eastAsia="標楷體" w:hAnsi="標楷體" w:hint="eastAsia"/>
                <w:bCs/>
                <w:szCs w:val="24"/>
              </w:rPr>
              <w:t>上市有價證券單日買賣違約申報金額累計達新臺幣二億元以上，或上櫃股票單日買賣違約申報金額累計達新臺幣五千萬元以上，且當日融資或融券餘額達該上市(櫃)股份或單位數百分之十五以上時，證券交易所或櫃檯買賣中心即於次一營業日公告暫停該股票、臺灣存託憑證融資融券交易。</w:t>
            </w:r>
          </w:p>
          <w:p w14:paraId="4A4725F5" w14:textId="77777777" w:rsidR="00C2306E" w:rsidRPr="00C2306E"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lastRenderedPageBreak/>
              <w:t>八、</w:t>
            </w:r>
            <w:r w:rsidR="002843FF" w:rsidRPr="002843FF">
              <w:rPr>
                <w:rFonts w:ascii="標楷體" w:eastAsia="標楷體" w:hAnsi="標楷體" w:hint="eastAsia"/>
                <w:bCs/>
                <w:szCs w:val="24"/>
              </w:rPr>
              <w:t>經證券交易所或櫃檯買賣中心監視業務督導會報決議或有其他不宜情事者，證券交易所或櫃檯買賣中心即公告暫停該有價證券融資融券交易。</w:t>
            </w:r>
          </w:p>
          <w:p w14:paraId="2687FE53" w14:textId="77777777" w:rsidR="00774AED" w:rsidRPr="00C53B28" w:rsidRDefault="00C2306E" w:rsidP="00C2306E">
            <w:pPr>
              <w:spacing w:line="360" w:lineRule="exact"/>
              <w:ind w:left="480" w:hanging="480"/>
              <w:jc w:val="both"/>
              <w:rPr>
                <w:rFonts w:ascii="標楷體" w:eastAsia="標楷體" w:hAnsi="標楷體"/>
                <w:bCs/>
                <w:szCs w:val="24"/>
              </w:rPr>
            </w:pPr>
            <w:r w:rsidRPr="00C2306E">
              <w:rPr>
                <w:rFonts w:ascii="標楷體" w:eastAsia="標楷體" w:hAnsi="標楷體" w:hint="eastAsia"/>
                <w:bCs/>
                <w:szCs w:val="24"/>
              </w:rPr>
              <w:t>九、</w:t>
            </w:r>
            <w:r w:rsidR="002843FF" w:rsidRPr="002843FF">
              <w:rPr>
                <w:rFonts w:ascii="標楷體" w:eastAsia="標楷體" w:hAnsi="標楷體" w:hint="eastAsia"/>
                <w:bCs/>
                <w:szCs w:val="24"/>
              </w:rPr>
              <w:t>指數股票型期貨信託基金受益憑證，有臺灣證券交易所股份有限公司受益憑證買賣辦法第二十三條第一項或財團法人中華民國證券櫃檯買賣中心指數股票型基金受益憑證買賣辦法第十六條第一項規定情事者，該受益憑證於證券交易所或櫃檯買賣中心公告後次一營業日起暫停融資融券交易。</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47338" w14:textId="77777777" w:rsidR="00774AED" w:rsidRPr="00C53B28" w:rsidRDefault="00803132" w:rsidP="00F4053C">
            <w:pPr>
              <w:pStyle w:val="a7"/>
              <w:spacing w:line="360" w:lineRule="exact"/>
              <w:ind w:left="0"/>
              <w:jc w:val="both"/>
              <w:rPr>
                <w:rFonts w:ascii="標楷體" w:eastAsia="標楷體" w:hAnsi="標楷體"/>
                <w:szCs w:val="24"/>
              </w:rPr>
            </w:pPr>
            <w:r w:rsidRPr="00803132">
              <w:rPr>
                <w:rFonts w:ascii="標楷體" w:eastAsia="標楷體" w:hAnsi="標楷體" w:hint="eastAsia"/>
                <w:szCs w:val="24"/>
              </w:rPr>
              <w:lastRenderedPageBreak/>
              <w:t>參酌「臺灣證券交易所股份有限公司審閱上市公司財務報告作業程序」及「財團法人中華民國證券櫃檯買賣中心審閱上櫃公司財務報告作業程序」，爰修正第四款及第五款文字，以使規範內容更為周延，並與實務審閱程序相符。</w:t>
            </w:r>
          </w:p>
        </w:tc>
      </w:tr>
      <w:tr w:rsidR="00174AA5" w14:paraId="780E7E3C"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B4B49" w14:textId="77777777" w:rsidR="00174AA5" w:rsidRPr="00230C46" w:rsidRDefault="00174AA5" w:rsidP="00174AA5">
            <w:pPr>
              <w:spacing w:line="360" w:lineRule="exact"/>
              <w:jc w:val="both"/>
              <w:rPr>
                <w:rFonts w:ascii="標楷體" w:eastAsia="標楷體" w:hAnsi="標楷體"/>
                <w:bCs/>
                <w:color w:val="000000" w:themeColor="text1"/>
                <w:szCs w:val="24"/>
              </w:rPr>
            </w:pPr>
            <w:r w:rsidRPr="00230C46">
              <w:rPr>
                <w:rFonts w:ascii="標楷體" w:eastAsia="標楷體" w:hAnsi="標楷體" w:hint="eastAsia"/>
                <w:bCs/>
                <w:color w:val="000000" w:themeColor="text1"/>
                <w:szCs w:val="24"/>
              </w:rPr>
              <w:lastRenderedPageBreak/>
              <w:t>第二十</w:t>
            </w:r>
            <w:r>
              <w:rPr>
                <w:rFonts w:ascii="標楷體" w:eastAsia="標楷體" w:hAnsi="標楷體" w:hint="eastAsia"/>
                <w:bCs/>
                <w:color w:val="000000" w:themeColor="text1"/>
                <w:szCs w:val="24"/>
              </w:rPr>
              <w:t>三</w:t>
            </w:r>
            <w:r w:rsidRPr="00230C46">
              <w:rPr>
                <w:rFonts w:ascii="標楷體" w:eastAsia="標楷體" w:hAnsi="標楷體" w:hint="eastAsia"/>
                <w:bCs/>
                <w:color w:val="000000" w:themeColor="text1"/>
                <w:szCs w:val="24"/>
              </w:rPr>
              <w:t>條</w:t>
            </w:r>
          </w:p>
          <w:p w14:paraId="7D942DB2" w14:textId="77777777" w:rsidR="00174AA5" w:rsidRDefault="002A231D" w:rsidP="002A231D">
            <w:pPr>
              <w:spacing w:line="360" w:lineRule="exact"/>
              <w:ind w:firstLine="480"/>
              <w:jc w:val="both"/>
              <w:rPr>
                <w:rFonts w:ascii="標楷體" w:eastAsia="標楷體" w:hAnsi="標楷體"/>
                <w:bCs/>
                <w:szCs w:val="24"/>
              </w:rPr>
            </w:pPr>
            <w:r w:rsidRPr="002A231D">
              <w:rPr>
                <w:rFonts w:ascii="標楷體" w:eastAsia="標楷體" w:hAnsi="標楷體"/>
                <w:bCs/>
                <w:szCs w:val="24"/>
              </w:rPr>
              <w:t>上市(櫃)有價證券經依前條規定暫停融資融券交易，除因前條第一款變更交易方法、停止買賣之情事自恢復交易方法、恢復買賣之日起或經證券交易所、櫃檯買賣中心監視業務督導會報決議暫停融資融券交易處置期間結束者外，符合下列情形時，自公告日之次一營業日起予以恢復：</w:t>
            </w:r>
          </w:p>
          <w:p w14:paraId="38AA015F" w14:textId="77777777" w:rsidR="002A231D" w:rsidRPr="002A231D" w:rsidRDefault="002A231D" w:rsidP="002A231D">
            <w:pPr>
              <w:spacing w:line="360" w:lineRule="exact"/>
              <w:ind w:left="480" w:hanging="480"/>
              <w:jc w:val="both"/>
              <w:rPr>
                <w:rFonts w:ascii="標楷體" w:eastAsia="標楷體" w:hAnsi="標楷體"/>
                <w:bCs/>
                <w:szCs w:val="24"/>
              </w:rPr>
            </w:pPr>
            <w:r>
              <w:rPr>
                <w:rFonts w:ascii="標楷體" w:eastAsia="標楷體" w:hAnsi="標楷體" w:hint="eastAsia"/>
                <w:bCs/>
                <w:szCs w:val="24"/>
              </w:rPr>
              <w:t>一</w:t>
            </w:r>
            <w:r w:rsidR="006B631E" w:rsidRPr="00C2306E">
              <w:rPr>
                <w:rFonts w:ascii="標楷體" w:eastAsia="標楷體" w:hAnsi="標楷體" w:hint="eastAsia"/>
                <w:bCs/>
                <w:szCs w:val="24"/>
              </w:rPr>
              <w:t>、</w:t>
            </w:r>
            <w:r w:rsidR="006B631E" w:rsidRPr="006B631E">
              <w:rPr>
                <w:rFonts w:ascii="標楷體" w:eastAsia="標楷體" w:hAnsi="標楷體"/>
                <w:bCs/>
                <w:szCs w:val="24"/>
              </w:rPr>
              <w:t>有前條第一款、第二款、第三款或第八款情事者，俟暫停原因消滅時，證券交易所或櫃檯買賣中心即公告恢復其融資融券交易。</w:t>
            </w:r>
          </w:p>
          <w:p w14:paraId="6D036F27" w14:textId="77777777" w:rsidR="002A231D" w:rsidRPr="006B631E" w:rsidRDefault="006B631E" w:rsidP="006B631E">
            <w:pPr>
              <w:spacing w:line="360" w:lineRule="exact"/>
              <w:ind w:left="480" w:hanging="480"/>
              <w:jc w:val="both"/>
              <w:rPr>
                <w:rFonts w:ascii="標楷體" w:eastAsia="標楷體" w:hAnsi="標楷體"/>
                <w:bCs/>
                <w:szCs w:val="24"/>
              </w:rPr>
            </w:pPr>
            <w:r w:rsidRPr="006B631E">
              <w:rPr>
                <w:rFonts w:ascii="標楷體" w:eastAsia="標楷體" w:hAnsi="標楷體" w:hint="eastAsia"/>
                <w:bCs/>
                <w:szCs w:val="24"/>
              </w:rPr>
              <w:lastRenderedPageBreak/>
              <w:t>二、</w:t>
            </w:r>
            <w:r w:rsidRPr="006B631E">
              <w:rPr>
                <w:rFonts w:ascii="標楷體" w:eastAsia="標楷體" w:hAnsi="標楷體"/>
                <w:bCs/>
                <w:szCs w:val="24"/>
              </w:rPr>
              <w:t>有前條第四款情事者，證券交易所或櫃檯買賣中心分別於每會計年度之年度、第一季、第二季及第三季財務報告公告並申報期限截止日後之第五個營業日，審</w:t>
            </w:r>
            <w:r w:rsidR="00ED08A7" w:rsidRPr="00ED08A7">
              <w:rPr>
                <w:rFonts w:ascii="標楷體" w:eastAsia="標楷體" w:hAnsi="標楷體" w:hint="eastAsia"/>
                <w:bCs/>
                <w:color w:val="FF0000"/>
                <w:szCs w:val="24"/>
                <w:u w:val="single"/>
              </w:rPr>
              <w:t>閱</w:t>
            </w:r>
            <w:r w:rsidRPr="006B631E">
              <w:rPr>
                <w:rFonts w:ascii="標楷體" w:eastAsia="標楷體" w:hAnsi="標楷體"/>
                <w:bCs/>
                <w:szCs w:val="24"/>
              </w:rPr>
              <w:t>其最近期依規定公告申報之財務報告，每股面額屬新臺幣十元者，每股淨值回復至票面以上，證券交易所或櫃檯買賣中心即公告恢復其融資融券交易。無面額或每股面額非屬新臺幣十元者，其財務報告顯示無累積虧損者，亦同。</w:t>
            </w:r>
          </w:p>
          <w:p w14:paraId="37CC1C9C" w14:textId="77777777" w:rsidR="006B631E" w:rsidRPr="006B631E" w:rsidRDefault="006B631E" w:rsidP="006B631E">
            <w:pPr>
              <w:spacing w:line="360" w:lineRule="exact"/>
              <w:ind w:left="480" w:hanging="480"/>
              <w:jc w:val="both"/>
              <w:rPr>
                <w:rFonts w:ascii="標楷體" w:eastAsia="標楷體" w:hAnsi="標楷體"/>
                <w:bCs/>
                <w:szCs w:val="24"/>
              </w:rPr>
            </w:pPr>
            <w:r w:rsidRPr="006B631E">
              <w:rPr>
                <w:rFonts w:ascii="標楷體" w:eastAsia="標楷體" w:hAnsi="標楷體" w:hint="eastAsia"/>
                <w:bCs/>
                <w:szCs w:val="24"/>
              </w:rPr>
              <w:t>三、</w:t>
            </w:r>
            <w:r w:rsidRPr="006B631E">
              <w:rPr>
                <w:rFonts w:ascii="標楷體" w:eastAsia="標楷體" w:hAnsi="標楷體"/>
                <w:bCs/>
                <w:szCs w:val="24"/>
              </w:rPr>
              <w:t>有前條第五款情事者，證券交易所依外國發行人所屬國及上市地國法令規定應公告及向主管機關、證券交易所或證券市場申報之期限後之第三個月之最後營業日，審</w:t>
            </w:r>
            <w:r w:rsidR="00ED08A7" w:rsidRPr="00ED08A7">
              <w:rPr>
                <w:rFonts w:ascii="標楷體" w:eastAsia="標楷體" w:hAnsi="標楷體" w:hint="eastAsia"/>
                <w:bCs/>
                <w:color w:val="FF0000"/>
                <w:szCs w:val="24"/>
                <w:u w:val="single"/>
              </w:rPr>
              <w:t>閱</w:t>
            </w:r>
            <w:r w:rsidR="0021251A" w:rsidRPr="0021251A">
              <w:rPr>
                <w:rFonts w:ascii="標楷體" w:eastAsia="標楷體" w:hAnsi="標楷體"/>
                <w:bCs/>
                <w:color w:val="000000" w:themeColor="text1"/>
                <w:szCs w:val="24"/>
              </w:rPr>
              <w:t>經</w:t>
            </w:r>
            <w:r w:rsidRPr="006B631E">
              <w:rPr>
                <w:rFonts w:ascii="標楷體" w:eastAsia="標楷體" w:hAnsi="標楷體"/>
                <w:bCs/>
                <w:szCs w:val="24"/>
              </w:rPr>
              <w:t>會計師查核簽證之最近期年度合併財務報告或經會計師核閱之半年度合併財務報告顯示無累積虧損，即公告恢復該存託憑證融資融券交易。</w:t>
            </w:r>
          </w:p>
          <w:p w14:paraId="2C7266D0" w14:textId="77777777" w:rsidR="006B631E" w:rsidRPr="006B631E" w:rsidRDefault="006B631E" w:rsidP="006B631E">
            <w:pPr>
              <w:spacing w:line="360" w:lineRule="exact"/>
              <w:ind w:left="480" w:hanging="480"/>
              <w:jc w:val="both"/>
              <w:rPr>
                <w:rFonts w:ascii="標楷體" w:eastAsia="標楷體" w:hAnsi="標楷體"/>
                <w:bCs/>
                <w:szCs w:val="24"/>
              </w:rPr>
            </w:pPr>
            <w:r w:rsidRPr="006B631E">
              <w:rPr>
                <w:rFonts w:ascii="標楷體" w:eastAsia="標楷體" w:hAnsi="標楷體" w:hint="eastAsia"/>
                <w:bCs/>
                <w:szCs w:val="24"/>
              </w:rPr>
              <w:t>四、</w:t>
            </w:r>
            <w:r w:rsidRPr="006B631E">
              <w:rPr>
                <w:rFonts w:ascii="標楷體" w:eastAsia="標楷體" w:hAnsi="標楷體"/>
                <w:bCs/>
                <w:szCs w:val="24"/>
              </w:rPr>
              <w:t>有前條第六款情事者，臺灣存託憑證上市單位數恢復為六千萬個單位數以上，證券交易所即於次一營業日公告恢復該存託憑證融資融券交</w:t>
            </w:r>
            <w:r w:rsidRPr="006B631E">
              <w:rPr>
                <w:rFonts w:ascii="標楷體" w:eastAsia="標楷體" w:hAnsi="標楷體"/>
                <w:bCs/>
                <w:szCs w:val="24"/>
              </w:rPr>
              <w:lastRenderedPageBreak/>
              <w:t>易。</w:t>
            </w:r>
          </w:p>
          <w:p w14:paraId="3BDF00BF" w14:textId="77777777" w:rsidR="006B631E" w:rsidRPr="006B631E" w:rsidRDefault="006B631E" w:rsidP="006B631E">
            <w:pPr>
              <w:spacing w:line="360" w:lineRule="exact"/>
              <w:ind w:left="480" w:hanging="480"/>
              <w:jc w:val="both"/>
              <w:rPr>
                <w:rFonts w:ascii="標楷體" w:eastAsia="標楷體" w:hAnsi="標楷體"/>
                <w:bCs/>
                <w:szCs w:val="24"/>
              </w:rPr>
            </w:pPr>
            <w:r w:rsidRPr="006B631E">
              <w:rPr>
                <w:rFonts w:ascii="標楷體" w:eastAsia="標楷體" w:hAnsi="標楷體" w:hint="eastAsia"/>
                <w:bCs/>
                <w:szCs w:val="24"/>
              </w:rPr>
              <w:t>五、</w:t>
            </w:r>
            <w:r w:rsidRPr="006B631E">
              <w:rPr>
                <w:rFonts w:ascii="標楷體" w:eastAsia="標楷體" w:hAnsi="標楷體"/>
                <w:bCs/>
                <w:szCs w:val="24"/>
              </w:rPr>
              <w:t>有前條第七款情事者，連續六個營業日均無單日買賣違約申報金額累計達新臺幣一千萬元以上，且前開六個營業日之最後營業日融資或融券餘額均低於上市(櫃)股份、單位數百分之十五時，證券交易所或櫃檯買賣中心即於次一營業日公告恢復其融資融券交易。</w:t>
            </w:r>
          </w:p>
          <w:p w14:paraId="752C684A" w14:textId="77777777" w:rsidR="006B631E" w:rsidRPr="006B631E" w:rsidRDefault="006B631E" w:rsidP="006B631E">
            <w:pPr>
              <w:spacing w:line="360" w:lineRule="exact"/>
              <w:ind w:left="480" w:hanging="480"/>
              <w:jc w:val="both"/>
              <w:rPr>
                <w:rFonts w:ascii="標楷體" w:eastAsia="標楷體" w:hAnsi="標楷體"/>
                <w:bCs/>
                <w:color w:val="000000" w:themeColor="text1"/>
                <w:szCs w:val="24"/>
              </w:rPr>
            </w:pPr>
            <w:r w:rsidRPr="006B631E">
              <w:rPr>
                <w:rFonts w:ascii="標楷體" w:eastAsia="標楷體" w:hAnsi="標楷體" w:hint="eastAsia"/>
                <w:bCs/>
                <w:szCs w:val="24"/>
              </w:rPr>
              <w:t>六、</w:t>
            </w:r>
            <w:r w:rsidRPr="006B631E">
              <w:rPr>
                <w:rFonts w:ascii="標楷體" w:eastAsia="標楷體" w:hAnsi="標楷體"/>
                <w:bCs/>
                <w:szCs w:val="24"/>
              </w:rPr>
              <w:t>指數股票型期貨信託基金受益憑證，有臺灣證券交易所股份有限公司受益憑證買賣辦法第二十三條第二項或財團法人中華民國證券櫃檯買賣中心指數股票型基金受益憑證買賣辦法第十六條第二項規定情事者。</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9D4F8" w14:textId="77777777" w:rsidR="00174AA5" w:rsidRPr="00230C46" w:rsidRDefault="00174AA5" w:rsidP="00174AA5">
            <w:pPr>
              <w:spacing w:line="360" w:lineRule="exact"/>
              <w:jc w:val="both"/>
              <w:rPr>
                <w:rFonts w:ascii="標楷體" w:eastAsia="標楷體" w:hAnsi="標楷體"/>
                <w:bCs/>
                <w:color w:val="000000" w:themeColor="text1"/>
                <w:szCs w:val="24"/>
              </w:rPr>
            </w:pPr>
            <w:r w:rsidRPr="00230C46">
              <w:rPr>
                <w:rFonts w:ascii="標楷體" w:eastAsia="標楷體" w:hAnsi="標楷體" w:hint="eastAsia"/>
                <w:bCs/>
                <w:color w:val="000000" w:themeColor="text1"/>
                <w:szCs w:val="24"/>
              </w:rPr>
              <w:lastRenderedPageBreak/>
              <w:t>第二十</w:t>
            </w:r>
            <w:r>
              <w:rPr>
                <w:rFonts w:ascii="標楷體" w:eastAsia="標楷體" w:hAnsi="標楷體" w:hint="eastAsia"/>
                <w:bCs/>
                <w:color w:val="000000" w:themeColor="text1"/>
                <w:szCs w:val="24"/>
              </w:rPr>
              <w:t>三</w:t>
            </w:r>
            <w:r w:rsidRPr="00230C46">
              <w:rPr>
                <w:rFonts w:ascii="標楷體" w:eastAsia="標楷體" w:hAnsi="標楷體" w:hint="eastAsia"/>
                <w:bCs/>
                <w:color w:val="000000" w:themeColor="text1"/>
                <w:szCs w:val="24"/>
              </w:rPr>
              <w:t>條</w:t>
            </w:r>
          </w:p>
          <w:p w14:paraId="655C121F" w14:textId="77777777" w:rsidR="002B7DD9" w:rsidRDefault="002B7DD9" w:rsidP="002B7DD9">
            <w:pPr>
              <w:spacing w:line="360" w:lineRule="exact"/>
              <w:ind w:firstLine="480"/>
              <w:jc w:val="both"/>
              <w:rPr>
                <w:rFonts w:ascii="標楷體" w:eastAsia="標楷體" w:hAnsi="標楷體"/>
                <w:bCs/>
                <w:szCs w:val="24"/>
              </w:rPr>
            </w:pPr>
            <w:r w:rsidRPr="002A231D">
              <w:rPr>
                <w:rFonts w:ascii="標楷體" w:eastAsia="標楷體" w:hAnsi="標楷體"/>
                <w:bCs/>
                <w:szCs w:val="24"/>
              </w:rPr>
              <w:t>上市(櫃)有價證券經依前條規定暫停融資融券交易，除因前條第一款變更交易方法、停止買賣之情事自恢復交易方法、恢復買賣之日起或經證券交易所、櫃檯買賣中心監視業務督導會報決議暫停融資融券交易處置期間結束者外，符合下列情形時，自公告日之次一營業日起予以恢復：</w:t>
            </w:r>
          </w:p>
          <w:p w14:paraId="18301BE9" w14:textId="77777777" w:rsidR="002B7DD9" w:rsidRPr="002A231D" w:rsidRDefault="002B7DD9" w:rsidP="002B7DD9">
            <w:pPr>
              <w:spacing w:line="360" w:lineRule="exact"/>
              <w:ind w:left="480" w:hanging="480"/>
              <w:jc w:val="both"/>
              <w:rPr>
                <w:rFonts w:ascii="標楷體" w:eastAsia="標楷體" w:hAnsi="標楷體"/>
                <w:bCs/>
                <w:szCs w:val="24"/>
              </w:rPr>
            </w:pPr>
            <w:r>
              <w:rPr>
                <w:rFonts w:ascii="標楷體" w:eastAsia="標楷體" w:hAnsi="標楷體" w:hint="eastAsia"/>
                <w:bCs/>
                <w:szCs w:val="24"/>
              </w:rPr>
              <w:t>一</w:t>
            </w:r>
            <w:r w:rsidRPr="00C2306E">
              <w:rPr>
                <w:rFonts w:ascii="標楷體" w:eastAsia="標楷體" w:hAnsi="標楷體" w:hint="eastAsia"/>
                <w:bCs/>
                <w:szCs w:val="24"/>
              </w:rPr>
              <w:t>、</w:t>
            </w:r>
            <w:r w:rsidRPr="006B631E">
              <w:rPr>
                <w:rFonts w:ascii="標楷體" w:eastAsia="標楷體" w:hAnsi="標楷體"/>
                <w:bCs/>
                <w:szCs w:val="24"/>
              </w:rPr>
              <w:t>有前條第一款、第二款、第三款或第八款情事者，俟暫停原因消滅時，證券交易所或櫃檯買賣中心即公告恢復其融資融券交易。</w:t>
            </w:r>
          </w:p>
          <w:p w14:paraId="08AB7BA9" w14:textId="77777777" w:rsidR="002B7DD9" w:rsidRPr="006B631E" w:rsidRDefault="002B7DD9" w:rsidP="002B7DD9">
            <w:pPr>
              <w:spacing w:line="360" w:lineRule="exact"/>
              <w:ind w:left="480" w:hanging="480"/>
              <w:jc w:val="both"/>
              <w:rPr>
                <w:rFonts w:ascii="標楷體" w:eastAsia="標楷體" w:hAnsi="標楷體"/>
                <w:bCs/>
                <w:szCs w:val="24"/>
              </w:rPr>
            </w:pPr>
            <w:r w:rsidRPr="006B631E">
              <w:rPr>
                <w:rFonts w:ascii="標楷體" w:eastAsia="標楷體" w:hAnsi="標楷體" w:hint="eastAsia"/>
                <w:bCs/>
                <w:szCs w:val="24"/>
              </w:rPr>
              <w:lastRenderedPageBreak/>
              <w:t>二、</w:t>
            </w:r>
            <w:r w:rsidRPr="006B631E">
              <w:rPr>
                <w:rFonts w:ascii="標楷體" w:eastAsia="標楷體" w:hAnsi="標楷體"/>
                <w:bCs/>
                <w:szCs w:val="24"/>
              </w:rPr>
              <w:t>有前條第四款情事者，證券交易所或櫃檯買賣中心分別於每會計年度之年度、第一季、第二季及第三季財務報告公告並申報期限截止日後之第五個營業日，審</w:t>
            </w:r>
            <w:r w:rsidRPr="0021251A">
              <w:rPr>
                <w:rFonts w:ascii="標楷體" w:eastAsia="標楷體" w:hAnsi="標楷體"/>
                <w:bCs/>
                <w:color w:val="000000" w:themeColor="text1"/>
                <w:szCs w:val="24"/>
              </w:rPr>
              <w:t>核</w:t>
            </w:r>
            <w:r w:rsidRPr="006B631E">
              <w:rPr>
                <w:rFonts w:ascii="標楷體" w:eastAsia="標楷體" w:hAnsi="標楷體"/>
                <w:bCs/>
                <w:szCs w:val="24"/>
              </w:rPr>
              <w:t>其最近期依規定公告申報之財務報告，每股面額屬新臺幣十元者，每股淨值回復至票面以上，證券交易所或櫃檯買賣中心即公告恢復其融資融券交易。無面額或每股面額非屬新臺幣十元者，其財務報告顯示無累積虧損者，亦同。</w:t>
            </w:r>
          </w:p>
          <w:p w14:paraId="35B3B6D8" w14:textId="77777777" w:rsidR="002B7DD9" w:rsidRPr="006B631E" w:rsidRDefault="002B7DD9" w:rsidP="002B7DD9">
            <w:pPr>
              <w:spacing w:line="360" w:lineRule="exact"/>
              <w:ind w:left="480" w:hanging="480"/>
              <w:jc w:val="both"/>
              <w:rPr>
                <w:rFonts w:ascii="標楷體" w:eastAsia="標楷體" w:hAnsi="標楷體"/>
                <w:bCs/>
                <w:szCs w:val="24"/>
              </w:rPr>
            </w:pPr>
            <w:r w:rsidRPr="006B631E">
              <w:rPr>
                <w:rFonts w:ascii="標楷體" w:eastAsia="標楷體" w:hAnsi="標楷體" w:hint="eastAsia"/>
                <w:bCs/>
                <w:szCs w:val="24"/>
              </w:rPr>
              <w:t>三、</w:t>
            </w:r>
            <w:r w:rsidRPr="006B631E">
              <w:rPr>
                <w:rFonts w:ascii="標楷體" w:eastAsia="標楷體" w:hAnsi="標楷體"/>
                <w:bCs/>
                <w:szCs w:val="24"/>
              </w:rPr>
              <w:t>有前條第五款情事者，證券交易所依外國發行人所屬國及上市地國法令規定應公告及向主管機關、證券交易所或證券市場申報之期限後之第三個月之最後營業日，審</w:t>
            </w:r>
            <w:r w:rsidRPr="00D9302C">
              <w:rPr>
                <w:rFonts w:ascii="標楷體" w:eastAsia="標楷體" w:hAnsi="標楷體"/>
                <w:bCs/>
                <w:color w:val="000000" w:themeColor="text1"/>
                <w:szCs w:val="24"/>
              </w:rPr>
              <w:t>核</w:t>
            </w:r>
            <w:r w:rsidRPr="0021251A">
              <w:rPr>
                <w:rFonts w:ascii="標楷體" w:eastAsia="標楷體" w:hAnsi="標楷體"/>
                <w:bCs/>
                <w:color w:val="000000" w:themeColor="text1"/>
                <w:szCs w:val="24"/>
              </w:rPr>
              <w:t>經</w:t>
            </w:r>
            <w:r w:rsidRPr="006B631E">
              <w:rPr>
                <w:rFonts w:ascii="標楷體" w:eastAsia="標楷體" w:hAnsi="標楷體"/>
                <w:bCs/>
                <w:szCs w:val="24"/>
              </w:rPr>
              <w:t>會計師查核簽證之最近期年度合併財務報告或經會計師核閱之半年度合併財務報告顯示無累積虧損，即公告恢復該存託憑證融資融券交易。</w:t>
            </w:r>
          </w:p>
          <w:p w14:paraId="4A7A5C01" w14:textId="77777777" w:rsidR="002B7DD9" w:rsidRPr="006B631E" w:rsidRDefault="002B7DD9" w:rsidP="002B7DD9">
            <w:pPr>
              <w:spacing w:line="360" w:lineRule="exact"/>
              <w:ind w:left="480" w:hanging="480"/>
              <w:jc w:val="both"/>
              <w:rPr>
                <w:rFonts w:ascii="標楷體" w:eastAsia="標楷體" w:hAnsi="標楷體"/>
                <w:bCs/>
                <w:szCs w:val="24"/>
              </w:rPr>
            </w:pPr>
            <w:r w:rsidRPr="006B631E">
              <w:rPr>
                <w:rFonts w:ascii="標楷體" w:eastAsia="標楷體" w:hAnsi="標楷體" w:hint="eastAsia"/>
                <w:bCs/>
                <w:szCs w:val="24"/>
              </w:rPr>
              <w:t>四、</w:t>
            </w:r>
            <w:r w:rsidRPr="006B631E">
              <w:rPr>
                <w:rFonts w:ascii="標楷體" w:eastAsia="標楷體" w:hAnsi="標楷體"/>
                <w:bCs/>
                <w:szCs w:val="24"/>
              </w:rPr>
              <w:t>有前條第六款情事者，臺灣存託憑證上市單位數恢復為六千萬個單位數以上，證券交易所即於次一營業日公告恢復該存託憑證融資融券交</w:t>
            </w:r>
            <w:r w:rsidRPr="006B631E">
              <w:rPr>
                <w:rFonts w:ascii="標楷體" w:eastAsia="標楷體" w:hAnsi="標楷體"/>
                <w:bCs/>
                <w:szCs w:val="24"/>
              </w:rPr>
              <w:lastRenderedPageBreak/>
              <w:t>易。</w:t>
            </w:r>
          </w:p>
          <w:p w14:paraId="53285C8B" w14:textId="77777777" w:rsidR="002B7DD9" w:rsidRPr="006B631E" w:rsidRDefault="002B7DD9" w:rsidP="002B7DD9">
            <w:pPr>
              <w:spacing w:line="360" w:lineRule="exact"/>
              <w:ind w:left="480" w:hanging="480"/>
              <w:jc w:val="both"/>
              <w:rPr>
                <w:rFonts w:ascii="標楷體" w:eastAsia="標楷體" w:hAnsi="標楷體"/>
                <w:bCs/>
                <w:szCs w:val="24"/>
              </w:rPr>
            </w:pPr>
            <w:r w:rsidRPr="006B631E">
              <w:rPr>
                <w:rFonts w:ascii="標楷體" w:eastAsia="標楷體" w:hAnsi="標楷體" w:hint="eastAsia"/>
                <w:bCs/>
                <w:szCs w:val="24"/>
              </w:rPr>
              <w:t>五、</w:t>
            </w:r>
            <w:r w:rsidRPr="006B631E">
              <w:rPr>
                <w:rFonts w:ascii="標楷體" w:eastAsia="標楷體" w:hAnsi="標楷體"/>
                <w:bCs/>
                <w:szCs w:val="24"/>
              </w:rPr>
              <w:t>有前條第七款情事者，連續六個營業日均無單日買賣違約申報金額累計達新臺幣一千萬元以上，且前開六個營業日之最後營業日融資或融券餘額均低於上市(櫃)股份、單位數百分之十五時，證券交易所或櫃檯買賣中心即於次一營業日公告恢復其融資融券交易。</w:t>
            </w:r>
          </w:p>
          <w:p w14:paraId="4E731397" w14:textId="77777777" w:rsidR="00174AA5" w:rsidRPr="00230C46" w:rsidRDefault="002B7DD9" w:rsidP="002B7DD9">
            <w:pPr>
              <w:spacing w:line="360" w:lineRule="exact"/>
              <w:ind w:left="480" w:hanging="480"/>
              <w:jc w:val="both"/>
              <w:rPr>
                <w:rFonts w:ascii="標楷體" w:eastAsia="標楷體" w:hAnsi="標楷體"/>
                <w:bCs/>
                <w:color w:val="000000" w:themeColor="text1"/>
                <w:szCs w:val="24"/>
              </w:rPr>
            </w:pPr>
            <w:r w:rsidRPr="006B631E">
              <w:rPr>
                <w:rFonts w:ascii="標楷體" w:eastAsia="標楷體" w:hAnsi="標楷體" w:hint="eastAsia"/>
                <w:bCs/>
                <w:szCs w:val="24"/>
              </w:rPr>
              <w:t>六、</w:t>
            </w:r>
            <w:r w:rsidRPr="006B631E">
              <w:rPr>
                <w:rFonts w:ascii="標楷體" w:eastAsia="標楷體" w:hAnsi="標楷體"/>
                <w:bCs/>
                <w:szCs w:val="24"/>
              </w:rPr>
              <w:t>指數股票型期貨信託基金受益憑證，有臺灣證券交易所股份有限公司受益憑證買賣辦法第二十三條第二項或財團法人中華民國證券櫃檯買賣中心指數股票型基金受益憑證買賣辦法第十六條第二項規定情事者。</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3728E" w14:textId="77777777" w:rsidR="00174AA5" w:rsidRPr="00803132" w:rsidRDefault="002B7DD9" w:rsidP="00F4053C">
            <w:pPr>
              <w:pStyle w:val="a7"/>
              <w:spacing w:line="360" w:lineRule="exact"/>
              <w:ind w:left="0"/>
              <w:jc w:val="both"/>
              <w:rPr>
                <w:rFonts w:ascii="標楷體" w:eastAsia="標楷體" w:hAnsi="標楷體"/>
                <w:szCs w:val="24"/>
              </w:rPr>
            </w:pPr>
            <w:r>
              <w:rPr>
                <w:rFonts w:ascii="標楷體" w:eastAsia="標楷體" w:hAnsi="標楷體" w:hint="eastAsia"/>
                <w:szCs w:val="24"/>
              </w:rPr>
              <w:lastRenderedPageBreak/>
              <w:t>配合第二十二條</w:t>
            </w:r>
            <w:r w:rsidR="005E404D">
              <w:rPr>
                <w:rFonts w:ascii="標楷體" w:eastAsia="標楷體" w:hAnsi="標楷體" w:hint="eastAsia"/>
                <w:szCs w:val="24"/>
              </w:rPr>
              <w:t>，</w:t>
            </w:r>
            <w:r w:rsidRPr="00803132">
              <w:rPr>
                <w:rFonts w:ascii="標楷體" w:eastAsia="標楷體" w:hAnsi="標楷體" w:hint="eastAsia"/>
                <w:szCs w:val="24"/>
              </w:rPr>
              <w:t>修正第</w:t>
            </w:r>
            <w:r w:rsidR="00ED08A7">
              <w:rPr>
                <w:rFonts w:ascii="標楷體" w:eastAsia="標楷體" w:hAnsi="標楷體" w:hint="eastAsia"/>
                <w:szCs w:val="24"/>
              </w:rPr>
              <w:t>二</w:t>
            </w:r>
            <w:r w:rsidRPr="00803132">
              <w:rPr>
                <w:rFonts w:ascii="標楷體" w:eastAsia="標楷體" w:hAnsi="標楷體" w:hint="eastAsia"/>
                <w:szCs w:val="24"/>
              </w:rPr>
              <w:t>款及第</w:t>
            </w:r>
            <w:r w:rsidR="00ED08A7">
              <w:rPr>
                <w:rFonts w:ascii="標楷體" w:eastAsia="標楷體" w:hAnsi="標楷體" w:hint="eastAsia"/>
                <w:szCs w:val="24"/>
              </w:rPr>
              <w:t>三</w:t>
            </w:r>
            <w:r w:rsidRPr="00803132">
              <w:rPr>
                <w:rFonts w:ascii="標楷體" w:eastAsia="標楷體" w:hAnsi="標楷體" w:hint="eastAsia"/>
                <w:szCs w:val="24"/>
              </w:rPr>
              <w:t>款文字，以使規範內容更為周延，並與實務審閱程序相符。</w:t>
            </w:r>
          </w:p>
        </w:tc>
      </w:tr>
      <w:tr w:rsidR="00E15ECA" w14:paraId="36A45FD7"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DBD07" w14:textId="77777777" w:rsidR="002E1449" w:rsidRPr="002E1449" w:rsidRDefault="002E1449" w:rsidP="002E1449">
            <w:pPr>
              <w:spacing w:line="360" w:lineRule="exact"/>
              <w:ind w:left="240" w:hanging="240"/>
              <w:jc w:val="both"/>
              <w:rPr>
                <w:rFonts w:ascii="標楷體" w:eastAsia="標楷體" w:hAnsi="標楷體"/>
                <w:bCs/>
                <w:szCs w:val="24"/>
              </w:rPr>
            </w:pPr>
            <w:r w:rsidRPr="002E1449">
              <w:rPr>
                <w:rFonts w:ascii="標楷體" w:eastAsia="標楷體" w:hAnsi="標楷體" w:hint="eastAsia"/>
                <w:bCs/>
                <w:szCs w:val="24"/>
              </w:rPr>
              <w:lastRenderedPageBreak/>
              <w:t>第四十五條</w:t>
            </w:r>
          </w:p>
          <w:p w14:paraId="2D19B1DA" w14:textId="77777777" w:rsidR="00E15ECA" w:rsidRDefault="002E1449" w:rsidP="00A565AB">
            <w:pPr>
              <w:spacing w:line="360" w:lineRule="exact"/>
              <w:ind w:firstLine="480"/>
              <w:jc w:val="both"/>
              <w:rPr>
                <w:rFonts w:ascii="標楷體" w:eastAsia="標楷體" w:hAnsi="標楷體"/>
                <w:bCs/>
                <w:szCs w:val="24"/>
              </w:rPr>
            </w:pPr>
            <w:r w:rsidRPr="002E1449">
              <w:rPr>
                <w:rFonts w:ascii="標楷體" w:eastAsia="標楷體" w:hAnsi="標楷體" w:hint="eastAsia"/>
                <w:bCs/>
                <w:szCs w:val="24"/>
              </w:rPr>
              <w:t>委託人信用帳戶申請書所載之本人、代理人或代表人姓名、國民身分證統一編號或法人統一編號、</w:t>
            </w:r>
            <w:r w:rsidR="00A565AB" w:rsidRPr="00A565AB">
              <w:rPr>
                <w:rFonts w:ascii="標楷體" w:eastAsia="標楷體" w:hAnsi="標楷體" w:hint="eastAsia"/>
                <w:bCs/>
                <w:color w:val="FF0000"/>
                <w:szCs w:val="24"/>
                <w:u w:val="single"/>
              </w:rPr>
              <w:t>電子郵件、手機號碼、</w:t>
            </w:r>
            <w:r w:rsidRPr="002E1449">
              <w:rPr>
                <w:rFonts w:ascii="標楷體" w:eastAsia="標楷體" w:hAnsi="標楷體" w:hint="eastAsia"/>
                <w:bCs/>
                <w:szCs w:val="24"/>
              </w:rPr>
              <w:t>通訊處所地址及連絡電話經變更後，未即通知證券商者，證券商得暫停其融資買進、融券賣出交易。</w:t>
            </w:r>
          </w:p>
          <w:p w14:paraId="4DC8B8C8" w14:textId="77777777" w:rsidR="00270D32" w:rsidRDefault="00905E81" w:rsidP="00381ED7">
            <w:pPr>
              <w:spacing w:line="360" w:lineRule="exact"/>
              <w:ind w:firstLine="480"/>
              <w:jc w:val="both"/>
              <w:rPr>
                <w:rFonts w:ascii="標楷體" w:eastAsia="標楷體" w:hAnsi="標楷體"/>
                <w:bCs/>
                <w:color w:val="FF0000"/>
                <w:szCs w:val="24"/>
                <w:u w:val="single"/>
              </w:rPr>
            </w:pPr>
            <w:r w:rsidRPr="00905E81">
              <w:rPr>
                <w:rFonts w:ascii="標楷體" w:eastAsia="標楷體" w:hAnsi="標楷體" w:hint="eastAsia"/>
                <w:bCs/>
                <w:color w:val="FF0000"/>
                <w:szCs w:val="24"/>
                <w:u w:val="single"/>
              </w:rPr>
              <w:t>證券商得受理委託人以書面或</w:t>
            </w:r>
            <w:r w:rsidRPr="007057B3">
              <w:rPr>
                <w:rFonts w:ascii="標楷體" w:eastAsia="標楷體" w:hAnsi="標楷體" w:hint="eastAsia"/>
                <w:bCs/>
                <w:color w:val="FF0000"/>
                <w:szCs w:val="24"/>
                <w:u w:val="single"/>
              </w:rPr>
              <w:t>電子憑證認證</w:t>
            </w:r>
            <w:r w:rsidRPr="00905E81">
              <w:rPr>
                <w:rFonts w:ascii="標楷體" w:eastAsia="標楷體" w:hAnsi="標楷體" w:hint="eastAsia"/>
                <w:bCs/>
                <w:color w:val="FF0000"/>
                <w:szCs w:val="24"/>
                <w:u w:val="single"/>
              </w:rPr>
              <w:t>方式</w:t>
            </w:r>
            <w:r w:rsidR="00974ACB">
              <w:rPr>
                <w:rFonts w:ascii="標楷體" w:eastAsia="標楷體" w:hAnsi="標楷體" w:hint="eastAsia"/>
                <w:bCs/>
                <w:color w:val="FF0000"/>
                <w:szCs w:val="24"/>
                <w:u w:val="single"/>
              </w:rPr>
              <w:t>，</w:t>
            </w:r>
            <w:r w:rsidRPr="00905E81">
              <w:rPr>
                <w:rFonts w:ascii="標楷體" w:eastAsia="標楷體" w:hAnsi="標楷體" w:hint="eastAsia"/>
                <w:bCs/>
                <w:color w:val="FF0000"/>
                <w:szCs w:val="24"/>
                <w:u w:val="single"/>
              </w:rPr>
              <w:t>申請前項資料變更。委託人以</w:t>
            </w:r>
            <w:r w:rsidRPr="007057B3">
              <w:rPr>
                <w:rFonts w:ascii="標楷體" w:eastAsia="標楷體" w:hAnsi="標楷體" w:hint="eastAsia"/>
                <w:bCs/>
                <w:color w:val="FF0000"/>
                <w:szCs w:val="24"/>
                <w:u w:val="single"/>
              </w:rPr>
              <w:t>電子憑證認證方式</w:t>
            </w:r>
            <w:r w:rsidRPr="00905E81">
              <w:rPr>
                <w:rFonts w:ascii="標楷體" w:eastAsia="標楷體" w:hAnsi="標楷體" w:hint="eastAsia"/>
                <w:bCs/>
                <w:color w:val="FF0000"/>
                <w:szCs w:val="24"/>
                <w:u w:val="single"/>
              </w:rPr>
              <w:t>申請</w:t>
            </w:r>
            <w:r w:rsidR="00381ED7">
              <w:rPr>
                <w:rFonts w:ascii="標楷體" w:eastAsia="標楷體" w:hAnsi="標楷體" w:hint="eastAsia"/>
                <w:bCs/>
                <w:color w:val="FF0000"/>
                <w:szCs w:val="24"/>
                <w:u w:val="single"/>
              </w:rPr>
              <w:t>者</w:t>
            </w:r>
            <w:r w:rsidRPr="00905E81">
              <w:rPr>
                <w:rFonts w:ascii="標楷體" w:eastAsia="標楷體" w:hAnsi="標楷體" w:hint="eastAsia"/>
                <w:bCs/>
                <w:color w:val="FF0000"/>
                <w:szCs w:val="24"/>
                <w:u w:val="single"/>
              </w:rPr>
              <w:t>，變更資料內容以電子郵</w:t>
            </w:r>
            <w:r w:rsidRPr="00905E81">
              <w:rPr>
                <w:rFonts w:ascii="標楷體" w:eastAsia="標楷體" w:hAnsi="標楷體" w:hint="eastAsia"/>
                <w:bCs/>
                <w:color w:val="FF0000"/>
                <w:szCs w:val="24"/>
                <w:u w:val="single"/>
              </w:rPr>
              <w:lastRenderedPageBreak/>
              <w:t>件、手機號碼、通訊處所地址及連絡電話為限。</w:t>
            </w:r>
          </w:p>
          <w:p w14:paraId="2865C087" w14:textId="77777777" w:rsidR="008C1C15" w:rsidRPr="00381ED7" w:rsidRDefault="003331F1" w:rsidP="00DC3F4D">
            <w:pPr>
              <w:spacing w:line="360" w:lineRule="exact"/>
              <w:ind w:firstLine="480"/>
              <w:jc w:val="both"/>
              <w:rPr>
                <w:rFonts w:ascii="標楷體" w:eastAsia="標楷體" w:hAnsi="標楷體"/>
                <w:bCs/>
                <w:color w:val="FF0000"/>
                <w:szCs w:val="24"/>
                <w:u w:val="single"/>
              </w:rPr>
            </w:pPr>
            <w:r w:rsidRPr="003331F1">
              <w:rPr>
                <w:rFonts w:ascii="標楷體" w:eastAsia="標楷體" w:hAnsi="標楷體" w:hint="eastAsia"/>
                <w:bCs/>
                <w:color w:val="FF0000"/>
                <w:szCs w:val="24"/>
                <w:u w:val="single"/>
              </w:rPr>
              <w:t>前項電子憑證認證，係指</w:t>
            </w:r>
            <w:r w:rsidR="004E5CB6">
              <w:rPr>
                <w:rFonts w:ascii="標楷體" w:eastAsia="標楷體" w:hAnsi="標楷體" w:hint="eastAsia"/>
                <w:bCs/>
                <w:color w:val="FF0000"/>
                <w:szCs w:val="24"/>
                <w:u w:val="single"/>
              </w:rPr>
              <w:t>以</w:t>
            </w:r>
            <w:r w:rsidRPr="003331F1">
              <w:rPr>
                <w:rFonts w:ascii="標楷體" w:eastAsia="標楷體" w:hAnsi="標楷體" w:hint="eastAsia"/>
                <w:bCs/>
                <w:color w:val="FF0000"/>
                <w:szCs w:val="24"/>
                <w:u w:val="single"/>
              </w:rPr>
              <w:t>憑證機構簽發之電子簽章</w:t>
            </w:r>
            <w:r w:rsidR="004E5CB6">
              <w:rPr>
                <w:rFonts w:ascii="標楷體" w:eastAsia="標楷體" w:hAnsi="標楷體" w:hint="eastAsia"/>
                <w:bCs/>
                <w:color w:val="FF0000"/>
                <w:szCs w:val="24"/>
                <w:u w:val="single"/>
              </w:rPr>
              <w:t>加</w:t>
            </w:r>
            <w:r w:rsidRPr="003331F1">
              <w:rPr>
                <w:rFonts w:ascii="標楷體" w:eastAsia="標楷體" w:hAnsi="標楷體" w:hint="eastAsia"/>
                <w:bCs/>
                <w:color w:val="FF0000"/>
                <w:szCs w:val="24"/>
                <w:u w:val="single"/>
              </w:rPr>
              <w:t>以辨識及確認。</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7B5C9" w14:textId="77777777" w:rsidR="002E1449" w:rsidRDefault="002E1449" w:rsidP="002E1449">
            <w:pPr>
              <w:spacing w:line="360" w:lineRule="exact"/>
              <w:ind w:left="240" w:hanging="240"/>
              <w:jc w:val="both"/>
              <w:rPr>
                <w:rFonts w:ascii="標楷體" w:eastAsia="標楷體" w:hAnsi="標楷體"/>
                <w:bCs/>
                <w:szCs w:val="24"/>
              </w:rPr>
            </w:pPr>
            <w:r w:rsidRPr="002E1449">
              <w:rPr>
                <w:rFonts w:ascii="標楷體" w:eastAsia="標楷體" w:hAnsi="標楷體" w:hint="eastAsia"/>
                <w:bCs/>
                <w:szCs w:val="24"/>
              </w:rPr>
              <w:lastRenderedPageBreak/>
              <w:t>第四十五條</w:t>
            </w:r>
          </w:p>
          <w:p w14:paraId="7125C971" w14:textId="77777777" w:rsidR="00E15ECA" w:rsidRDefault="002E1449" w:rsidP="002E1449">
            <w:pPr>
              <w:spacing w:line="360" w:lineRule="exact"/>
              <w:ind w:firstLine="480"/>
              <w:jc w:val="both"/>
              <w:rPr>
                <w:rFonts w:ascii="標楷體" w:eastAsia="標楷體" w:hAnsi="標楷體"/>
                <w:bCs/>
                <w:szCs w:val="24"/>
              </w:rPr>
            </w:pPr>
            <w:r w:rsidRPr="002E1449">
              <w:rPr>
                <w:rFonts w:ascii="標楷體" w:eastAsia="標楷體" w:hAnsi="標楷體" w:hint="eastAsia"/>
                <w:bCs/>
                <w:szCs w:val="24"/>
              </w:rPr>
              <w:t>委託人信用帳戶申請書所載之本人、代理人或代表人姓名、國民身分證統一編號或法人統一編號、通訊處所地址及連絡電話經變更後，未即</w:t>
            </w:r>
            <w:r w:rsidRPr="00905E81">
              <w:rPr>
                <w:rFonts w:ascii="標楷體" w:eastAsia="標楷體" w:hAnsi="標楷體" w:hint="eastAsia"/>
                <w:bCs/>
                <w:color w:val="FF0000"/>
                <w:szCs w:val="24"/>
                <w:u w:val="single"/>
              </w:rPr>
              <w:t>以書面</w:t>
            </w:r>
            <w:r w:rsidRPr="002E1449">
              <w:rPr>
                <w:rFonts w:ascii="標楷體" w:eastAsia="標楷體" w:hAnsi="標楷體" w:hint="eastAsia"/>
                <w:bCs/>
                <w:szCs w:val="24"/>
              </w:rPr>
              <w:t>通知證券商者，證券商得暫停其融資買進、融券賣出交易。</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DE3B1" w14:textId="77777777" w:rsidR="00E15ECA" w:rsidRDefault="009D3DDD" w:rsidP="009D3DDD">
            <w:pPr>
              <w:spacing w:line="360" w:lineRule="exact"/>
              <w:ind w:left="480" w:hanging="480"/>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一、</w:t>
            </w:r>
            <w:r w:rsidR="00C01286" w:rsidRPr="007B6EAB">
              <w:rPr>
                <w:rFonts w:ascii="Times New Roman" w:eastAsia="標楷體" w:hAnsi="Times New Roman" w:hint="eastAsia"/>
                <w:color w:val="000000" w:themeColor="text1"/>
                <w:szCs w:val="24"/>
              </w:rPr>
              <w:t>配合</w:t>
            </w:r>
            <w:r w:rsidR="00C01286" w:rsidRPr="007B6EAB">
              <w:rPr>
                <w:rFonts w:ascii="Times New Roman" w:eastAsia="標楷體" w:hAnsi="Times New Roman"/>
                <w:color w:val="000000" w:themeColor="text1"/>
                <w:szCs w:val="24"/>
              </w:rPr>
              <w:t>第四十六條第一項</w:t>
            </w:r>
            <w:r w:rsidR="00DB5B2F">
              <w:rPr>
                <w:rFonts w:ascii="Times New Roman" w:eastAsia="標楷體" w:hAnsi="Times New Roman" w:hint="eastAsia"/>
                <w:color w:val="000000" w:themeColor="text1"/>
                <w:szCs w:val="24"/>
              </w:rPr>
              <w:t>新增</w:t>
            </w:r>
            <w:r w:rsidR="00C01286" w:rsidRPr="007B6EAB">
              <w:rPr>
                <w:rFonts w:ascii="Times New Roman" w:eastAsia="標楷體" w:hAnsi="Times New Roman" w:hint="eastAsia"/>
                <w:color w:val="000000" w:themeColor="text1"/>
                <w:szCs w:val="24"/>
              </w:rPr>
              <w:t>電子化</w:t>
            </w:r>
            <w:r w:rsidR="00C01286" w:rsidRPr="007B6EAB">
              <w:rPr>
                <w:rFonts w:ascii="Times New Roman" w:eastAsia="標楷體" w:hAnsi="Times New Roman"/>
                <w:color w:val="000000" w:themeColor="text1"/>
                <w:szCs w:val="24"/>
              </w:rPr>
              <w:t>通知方式</w:t>
            </w:r>
            <w:r w:rsidR="000E4599" w:rsidRPr="007B6EAB">
              <w:rPr>
                <w:rFonts w:ascii="Times New Roman" w:eastAsia="標楷體" w:hAnsi="Times New Roman" w:hint="eastAsia"/>
                <w:color w:val="000000" w:themeColor="text1"/>
                <w:szCs w:val="24"/>
              </w:rPr>
              <w:t>，</w:t>
            </w:r>
            <w:r w:rsidR="00DB5B2F">
              <w:rPr>
                <w:rFonts w:ascii="Times New Roman" w:eastAsia="標楷體" w:hAnsi="Times New Roman" w:hint="eastAsia"/>
                <w:color w:val="000000" w:themeColor="text1"/>
                <w:szCs w:val="24"/>
              </w:rPr>
              <w:t>明定</w:t>
            </w:r>
            <w:r w:rsidR="00DB5B2F" w:rsidRPr="00DB5B2F">
              <w:rPr>
                <w:rFonts w:ascii="Times New Roman" w:eastAsia="標楷體" w:hAnsi="Times New Roman" w:hint="eastAsia"/>
                <w:color w:val="000000" w:themeColor="text1"/>
                <w:szCs w:val="24"/>
              </w:rPr>
              <w:t>當委託人之電子郵件及手機號碼變更時，應即通知證券商</w:t>
            </w:r>
            <w:r w:rsidR="00DB5B2F">
              <w:rPr>
                <w:rFonts w:ascii="Times New Roman" w:eastAsia="標楷體" w:hAnsi="Times New Roman" w:hint="eastAsia"/>
                <w:color w:val="000000" w:themeColor="text1"/>
                <w:szCs w:val="24"/>
              </w:rPr>
              <w:t>，爰修正第一項</w:t>
            </w:r>
            <w:r w:rsidR="000E4599" w:rsidRPr="007B6EAB">
              <w:rPr>
                <w:rFonts w:ascii="Times New Roman" w:eastAsia="標楷體" w:hAnsi="Times New Roman" w:hint="eastAsia"/>
                <w:color w:val="000000" w:themeColor="text1"/>
                <w:szCs w:val="24"/>
              </w:rPr>
              <w:t>文字。</w:t>
            </w:r>
          </w:p>
          <w:p w14:paraId="1704F005" w14:textId="77777777" w:rsidR="00DB5B2F" w:rsidRDefault="00C84727" w:rsidP="004C4045">
            <w:pPr>
              <w:spacing w:line="360" w:lineRule="exact"/>
              <w:ind w:left="480" w:hanging="480"/>
              <w:jc w:val="both"/>
              <w:rPr>
                <w:rFonts w:ascii="Times New Roman" w:eastAsia="標楷體" w:hAnsi="Times New Roman"/>
                <w:color w:val="000000" w:themeColor="text1"/>
                <w:szCs w:val="24"/>
              </w:rPr>
            </w:pPr>
            <w:r w:rsidRPr="00C84727">
              <w:rPr>
                <w:rFonts w:ascii="Times New Roman" w:eastAsia="標楷體" w:hAnsi="Times New Roman" w:hint="eastAsia"/>
                <w:color w:val="000000" w:themeColor="text1"/>
                <w:szCs w:val="24"/>
              </w:rPr>
              <w:t>二、</w:t>
            </w:r>
            <w:r w:rsidR="00381ED7">
              <w:rPr>
                <w:rFonts w:ascii="Times New Roman" w:eastAsia="標楷體" w:hAnsi="Times New Roman" w:hint="eastAsia"/>
                <w:color w:val="000000" w:themeColor="text1"/>
                <w:szCs w:val="24"/>
              </w:rPr>
              <w:t>因應數位化發展之</w:t>
            </w:r>
            <w:r w:rsidRPr="00C84727">
              <w:rPr>
                <w:rFonts w:ascii="Times New Roman" w:eastAsia="標楷體" w:hAnsi="Times New Roman" w:hint="eastAsia"/>
                <w:color w:val="000000" w:themeColor="text1"/>
                <w:szCs w:val="24"/>
              </w:rPr>
              <w:t>實</w:t>
            </w:r>
            <w:r w:rsidR="00381ED7">
              <w:rPr>
                <w:rFonts w:ascii="Times New Roman" w:eastAsia="標楷體" w:hAnsi="Times New Roman" w:hint="eastAsia"/>
                <w:color w:val="000000" w:themeColor="text1"/>
                <w:szCs w:val="24"/>
              </w:rPr>
              <w:t>務</w:t>
            </w:r>
            <w:r w:rsidRPr="00C84727">
              <w:rPr>
                <w:rFonts w:ascii="Times New Roman" w:eastAsia="標楷體" w:hAnsi="Times New Roman" w:hint="eastAsia"/>
                <w:color w:val="000000" w:themeColor="text1"/>
                <w:szCs w:val="24"/>
              </w:rPr>
              <w:t>需</w:t>
            </w:r>
            <w:r w:rsidR="00381ED7">
              <w:rPr>
                <w:rFonts w:ascii="Times New Roman" w:eastAsia="標楷體" w:hAnsi="Times New Roman" w:hint="eastAsia"/>
                <w:color w:val="000000" w:themeColor="text1"/>
                <w:szCs w:val="24"/>
              </w:rPr>
              <w:t>求</w:t>
            </w:r>
            <w:r w:rsidRPr="00C84727">
              <w:rPr>
                <w:rFonts w:ascii="Times New Roman" w:eastAsia="標楷體" w:hAnsi="Times New Roman" w:hint="eastAsia"/>
                <w:color w:val="000000" w:themeColor="text1"/>
                <w:szCs w:val="24"/>
              </w:rPr>
              <w:t>，</w:t>
            </w:r>
            <w:r w:rsidR="00781FE0">
              <w:rPr>
                <w:rFonts w:ascii="Times New Roman" w:eastAsia="標楷體" w:hAnsi="Times New Roman" w:hint="eastAsia"/>
                <w:color w:val="000000" w:themeColor="text1"/>
                <w:szCs w:val="24"/>
              </w:rPr>
              <w:t>為便利申請作業，並確保申請作業之完整性及安全性，</w:t>
            </w:r>
            <w:r w:rsidRPr="00C84727">
              <w:rPr>
                <w:rFonts w:ascii="Times New Roman" w:eastAsia="標楷體" w:hAnsi="Times New Roman" w:hint="eastAsia"/>
                <w:color w:val="000000" w:themeColor="text1"/>
                <w:szCs w:val="24"/>
              </w:rPr>
              <w:t>明定委託人申請資料</w:t>
            </w:r>
            <w:r w:rsidR="0043101C" w:rsidRPr="0043101C">
              <w:rPr>
                <w:rFonts w:ascii="Times New Roman" w:eastAsia="標楷體" w:hAnsi="Times New Roman" w:hint="eastAsia"/>
                <w:color w:val="000000" w:themeColor="text1"/>
                <w:szCs w:val="24"/>
              </w:rPr>
              <w:t>變更</w:t>
            </w:r>
            <w:r w:rsidRPr="00C84727">
              <w:rPr>
                <w:rFonts w:ascii="Times New Roman" w:eastAsia="標楷體" w:hAnsi="Times New Roman" w:hint="eastAsia"/>
                <w:color w:val="000000" w:themeColor="text1"/>
                <w:szCs w:val="24"/>
              </w:rPr>
              <w:t>，得以書面或</w:t>
            </w:r>
            <w:r w:rsidRPr="007057B3">
              <w:rPr>
                <w:rFonts w:ascii="Times New Roman" w:eastAsia="標楷體" w:hAnsi="Times New Roman" w:hint="eastAsia"/>
                <w:color w:val="000000" w:themeColor="text1"/>
                <w:szCs w:val="24"/>
              </w:rPr>
              <w:t>電子憑證認證</w:t>
            </w:r>
            <w:r w:rsidRPr="00C84727">
              <w:rPr>
                <w:rFonts w:ascii="Times New Roman" w:eastAsia="標楷體" w:hAnsi="Times New Roman" w:hint="eastAsia"/>
                <w:color w:val="000000" w:themeColor="text1"/>
                <w:szCs w:val="24"/>
              </w:rPr>
              <w:t>方式進行，</w:t>
            </w:r>
            <w:r w:rsidR="0043101C" w:rsidRPr="0043101C">
              <w:rPr>
                <w:rFonts w:ascii="Times New Roman" w:eastAsia="標楷體" w:hAnsi="Times New Roman" w:hint="eastAsia"/>
                <w:color w:val="000000" w:themeColor="text1"/>
                <w:szCs w:val="24"/>
              </w:rPr>
              <w:t>另規範以</w:t>
            </w:r>
            <w:r w:rsidR="0043101C" w:rsidRPr="007057B3">
              <w:rPr>
                <w:rFonts w:ascii="Times New Roman" w:eastAsia="標楷體" w:hAnsi="Times New Roman" w:hint="eastAsia"/>
                <w:color w:val="000000" w:themeColor="text1"/>
                <w:szCs w:val="24"/>
              </w:rPr>
              <w:t>電子憑證認證</w:t>
            </w:r>
            <w:r w:rsidR="002660C1">
              <w:rPr>
                <w:rFonts w:ascii="Times New Roman" w:eastAsia="標楷體" w:hAnsi="Times New Roman" w:hint="eastAsia"/>
                <w:color w:val="000000" w:themeColor="text1"/>
                <w:szCs w:val="24"/>
              </w:rPr>
              <w:t>方式申請者，其資料變更範圍，</w:t>
            </w:r>
            <w:r w:rsidR="002660C1">
              <w:rPr>
                <w:rFonts w:ascii="Times New Roman" w:eastAsia="標楷體" w:hAnsi="Times New Roman" w:hint="eastAsia"/>
                <w:color w:val="000000" w:themeColor="text1"/>
                <w:szCs w:val="24"/>
              </w:rPr>
              <w:lastRenderedPageBreak/>
              <w:t>爰新增第二項</w:t>
            </w:r>
            <w:r w:rsidR="00DB5B2F">
              <w:rPr>
                <w:rFonts w:ascii="Times New Roman" w:eastAsia="標楷體" w:hAnsi="Times New Roman" w:hint="eastAsia"/>
                <w:color w:val="000000" w:themeColor="text1"/>
                <w:szCs w:val="24"/>
              </w:rPr>
              <w:t>。</w:t>
            </w:r>
          </w:p>
          <w:p w14:paraId="3378A6D1" w14:textId="77777777" w:rsidR="009D3DDD" w:rsidRPr="004C4045" w:rsidRDefault="00DB5B2F" w:rsidP="00DB5B2F">
            <w:pPr>
              <w:spacing w:line="360" w:lineRule="exact"/>
              <w:ind w:left="480" w:hanging="480"/>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三、</w:t>
            </w:r>
            <w:r w:rsidR="002660C1" w:rsidRPr="002660C1">
              <w:rPr>
                <w:rFonts w:ascii="Times New Roman" w:eastAsia="標楷體" w:hAnsi="Times New Roman" w:hint="eastAsia"/>
                <w:color w:val="000000" w:themeColor="text1"/>
                <w:szCs w:val="24"/>
              </w:rPr>
              <w:t>參酌</w:t>
            </w:r>
            <w:r w:rsidRPr="00DB5B2F">
              <w:rPr>
                <w:rFonts w:ascii="Times New Roman" w:eastAsia="標楷體" w:hAnsi="Times New Roman" w:hint="eastAsia"/>
                <w:color w:val="000000" w:themeColor="text1"/>
                <w:szCs w:val="24"/>
              </w:rPr>
              <w:t>臺灣證券交易所股份有限公司</w:t>
            </w:r>
            <w:r w:rsidR="002660C1" w:rsidRPr="002660C1">
              <w:rPr>
                <w:rFonts w:ascii="Times New Roman" w:eastAsia="標楷體" w:hAnsi="Times New Roman" w:hint="eastAsia"/>
                <w:color w:val="000000" w:themeColor="text1"/>
                <w:szCs w:val="24"/>
              </w:rPr>
              <w:t>營業細則第七十五條第一項第九款，爰於第三項明定其係使用憑證機構所簽發之電子簽章簽署之</w:t>
            </w:r>
            <w:r w:rsidR="001B3885">
              <w:rPr>
                <w:rFonts w:ascii="Times New Roman" w:eastAsia="標楷體" w:hAnsi="Times New Roman" w:hint="eastAsia"/>
                <w:color w:val="000000" w:themeColor="text1"/>
                <w:szCs w:val="24"/>
              </w:rPr>
              <w:t>電子憑證認證方式</w:t>
            </w:r>
            <w:r w:rsidR="002660C1" w:rsidRPr="002660C1">
              <w:rPr>
                <w:rFonts w:ascii="Times New Roman" w:eastAsia="標楷體" w:hAnsi="Times New Roman" w:hint="eastAsia"/>
                <w:color w:val="000000" w:themeColor="text1"/>
                <w:szCs w:val="24"/>
              </w:rPr>
              <w:t>。</w:t>
            </w:r>
          </w:p>
        </w:tc>
      </w:tr>
      <w:tr w:rsidR="00020800" w14:paraId="6716BE3A"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D929F" w14:textId="77777777" w:rsidR="00020800" w:rsidRDefault="00DC08BB">
            <w:pPr>
              <w:spacing w:line="360" w:lineRule="exact"/>
              <w:ind w:left="240" w:hanging="240"/>
              <w:jc w:val="both"/>
              <w:rPr>
                <w:rFonts w:ascii="標楷體" w:eastAsia="標楷體" w:hAnsi="標楷體"/>
                <w:bCs/>
                <w:szCs w:val="24"/>
              </w:rPr>
            </w:pPr>
            <w:r>
              <w:rPr>
                <w:rFonts w:ascii="標楷體" w:eastAsia="標楷體" w:hAnsi="標楷體"/>
                <w:bCs/>
                <w:szCs w:val="24"/>
              </w:rPr>
              <w:lastRenderedPageBreak/>
              <w:t>第四十六條</w:t>
            </w:r>
          </w:p>
          <w:p w14:paraId="4CEEBD98" w14:textId="77777777" w:rsidR="00020800" w:rsidRDefault="00DC08BB">
            <w:pPr>
              <w:spacing w:line="360" w:lineRule="exact"/>
              <w:ind w:firstLine="480"/>
              <w:jc w:val="both"/>
            </w:pPr>
            <w:r>
              <w:rPr>
                <w:rFonts w:ascii="標楷體" w:eastAsia="標楷體" w:hAnsi="標楷體"/>
                <w:bCs/>
                <w:szCs w:val="24"/>
              </w:rPr>
              <w:t>證券商依本辦法應行通知委託人之事項，以郵寄</w:t>
            </w:r>
            <w:r w:rsidR="003331F1" w:rsidRPr="000879C8">
              <w:rPr>
                <w:rFonts w:ascii="標楷體" w:eastAsia="標楷體" w:hAnsi="標楷體" w:hint="eastAsia"/>
                <w:bCs/>
                <w:color w:val="FF0000"/>
                <w:szCs w:val="24"/>
                <w:u w:val="single"/>
              </w:rPr>
              <w:t>或</w:t>
            </w:r>
            <w:r>
              <w:rPr>
                <w:rFonts w:ascii="標楷體" w:eastAsia="標楷體" w:hAnsi="標楷體"/>
                <w:bCs/>
                <w:szCs w:val="24"/>
              </w:rPr>
              <w:t>電子郵件</w:t>
            </w:r>
            <w:r>
              <w:rPr>
                <w:rFonts w:ascii="標楷體" w:eastAsia="標楷體" w:hAnsi="標楷體"/>
                <w:bCs/>
                <w:color w:val="EE0000"/>
                <w:szCs w:val="24"/>
                <w:u w:val="single"/>
              </w:rPr>
              <w:t>、手機簡訊</w:t>
            </w:r>
            <w:r w:rsidR="009633C7">
              <w:rPr>
                <w:rFonts w:ascii="標楷體" w:eastAsia="標楷體" w:hAnsi="標楷體" w:hint="eastAsia"/>
                <w:bCs/>
                <w:color w:val="EE0000"/>
                <w:szCs w:val="24"/>
                <w:u w:val="single"/>
              </w:rPr>
              <w:t>、</w:t>
            </w:r>
            <w:r>
              <w:rPr>
                <w:rFonts w:ascii="標楷體" w:eastAsia="標楷體" w:hAnsi="標楷體"/>
                <w:bCs/>
                <w:color w:val="EE0000"/>
                <w:szCs w:val="24"/>
                <w:u w:val="single"/>
              </w:rPr>
              <w:t>公司行動裝置應用軟體</w:t>
            </w:r>
            <w:r w:rsidR="00940BFD">
              <w:rPr>
                <w:rFonts w:ascii="標楷體" w:eastAsia="標楷體" w:hAnsi="標楷體" w:hint="eastAsia"/>
                <w:bCs/>
                <w:color w:val="EE0000"/>
                <w:szCs w:val="24"/>
                <w:u w:val="single"/>
              </w:rPr>
              <w:t>之</w:t>
            </w:r>
            <w:r>
              <w:rPr>
                <w:rFonts w:ascii="標楷體" w:eastAsia="標楷體" w:hAnsi="標楷體"/>
                <w:bCs/>
                <w:color w:val="EE0000"/>
                <w:szCs w:val="24"/>
                <w:u w:val="single"/>
              </w:rPr>
              <w:t>電子化方式</w:t>
            </w:r>
            <w:r w:rsidR="00577343">
              <w:rPr>
                <w:rFonts w:ascii="標楷體" w:eastAsia="標楷體" w:hAnsi="標楷體" w:hint="eastAsia"/>
                <w:bCs/>
                <w:color w:val="EE0000"/>
                <w:szCs w:val="24"/>
                <w:u w:val="single"/>
              </w:rPr>
              <w:t>，</w:t>
            </w:r>
            <w:r>
              <w:rPr>
                <w:rFonts w:ascii="標楷體" w:eastAsia="標楷體" w:hAnsi="標楷體"/>
                <w:bCs/>
                <w:szCs w:val="24"/>
              </w:rPr>
              <w:t>或委託人當面簽收方式為之。</w:t>
            </w:r>
          </w:p>
          <w:p w14:paraId="7DEC5645" w14:textId="77777777" w:rsidR="00020800" w:rsidRDefault="00DC08BB">
            <w:pPr>
              <w:spacing w:line="360" w:lineRule="exact"/>
              <w:ind w:firstLine="480"/>
              <w:jc w:val="both"/>
            </w:pPr>
            <w:r>
              <w:rPr>
                <w:rFonts w:ascii="標楷體" w:eastAsia="標楷體" w:hAnsi="標楷體"/>
                <w:bCs/>
                <w:szCs w:val="24"/>
              </w:rPr>
              <w:t>證券商採</w:t>
            </w:r>
            <w:r w:rsidRPr="00AD0F86">
              <w:rPr>
                <w:rFonts w:ascii="標楷體" w:eastAsia="標楷體" w:hAnsi="標楷體"/>
                <w:bCs/>
                <w:szCs w:val="24"/>
              </w:rPr>
              <w:t>電子</w:t>
            </w:r>
            <w:r>
              <w:rPr>
                <w:rFonts w:ascii="標楷體" w:eastAsia="標楷體" w:hAnsi="標楷體"/>
                <w:bCs/>
                <w:color w:val="EE0000"/>
                <w:szCs w:val="24"/>
                <w:u w:val="single"/>
              </w:rPr>
              <w:t>化</w:t>
            </w:r>
            <w:r>
              <w:rPr>
                <w:rFonts w:ascii="標楷體" w:eastAsia="標楷體" w:hAnsi="標楷體"/>
                <w:bCs/>
                <w:szCs w:val="24"/>
              </w:rPr>
              <w:t>方式通知者，須事前取得委託人書面同意或電子同意書。</w:t>
            </w:r>
            <w:r>
              <w:rPr>
                <w:rFonts w:ascii="標楷體" w:eastAsia="標楷體" w:hAnsi="標楷體"/>
                <w:bCs/>
                <w:color w:val="EE0000"/>
                <w:szCs w:val="24"/>
                <w:u w:val="single"/>
              </w:rPr>
              <w:t>委託人得隨時向證券商表示停止採用前述方式，經證券商同意後停止之。但停止前所為之法律行為，其效力不受影響。</w:t>
            </w:r>
          </w:p>
          <w:p w14:paraId="6EB67E0A" w14:textId="77777777" w:rsidR="00020800" w:rsidRDefault="00DC08BB">
            <w:pPr>
              <w:spacing w:line="360" w:lineRule="exact"/>
              <w:ind w:firstLine="480"/>
              <w:jc w:val="both"/>
            </w:pPr>
            <w:r>
              <w:rPr>
                <w:rFonts w:ascii="標楷體" w:eastAsia="標楷體" w:hAnsi="標楷體"/>
                <w:bCs/>
                <w:szCs w:val="24"/>
              </w:rPr>
              <w:t>證券商採</w:t>
            </w:r>
            <w:r w:rsidRPr="00AD0F86">
              <w:rPr>
                <w:rFonts w:ascii="標楷體" w:eastAsia="標楷體" w:hAnsi="標楷體"/>
                <w:bCs/>
                <w:szCs w:val="24"/>
              </w:rPr>
              <w:t>電子</w:t>
            </w:r>
            <w:r w:rsidRPr="00AD0F86">
              <w:rPr>
                <w:rFonts w:ascii="標楷體" w:eastAsia="標楷體" w:hAnsi="標楷體"/>
                <w:bCs/>
                <w:color w:val="FF0000"/>
                <w:szCs w:val="24"/>
                <w:u w:val="single"/>
              </w:rPr>
              <w:t>化方式</w:t>
            </w:r>
            <w:r>
              <w:rPr>
                <w:rFonts w:ascii="標楷體" w:eastAsia="標楷體" w:hAnsi="標楷體"/>
                <w:bCs/>
                <w:szCs w:val="24"/>
              </w:rPr>
              <w:t>通知委託人限期辦理之截止日，與採郵寄通知方式所定截止日同。</w:t>
            </w:r>
          </w:p>
          <w:p w14:paraId="6A0E31E7" w14:textId="77777777" w:rsidR="00020800" w:rsidRPr="001B44CC"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證券商採郵寄方式通知者，因委託人未為前條之變更通知或其他可歸責委託人之事由，致無法如期送達者，於郵局第一次投遞時發生通知效力</w:t>
            </w:r>
            <w:r w:rsidR="001B44CC" w:rsidRPr="00950F6F">
              <w:rPr>
                <w:rFonts w:ascii="標楷體" w:eastAsia="標楷體" w:hAnsi="標楷體" w:hint="eastAsia"/>
                <w:bCs/>
                <w:color w:val="FF0000"/>
                <w:szCs w:val="24"/>
                <w:u w:val="single"/>
              </w:rPr>
              <w:t>；</w:t>
            </w:r>
            <w:r w:rsidR="001B44CC" w:rsidRPr="006F163D">
              <w:rPr>
                <w:rFonts w:ascii="標楷體" w:eastAsia="標楷體" w:hAnsi="標楷體" w:hint="eastAsia"/>
                <w:bCs/>
                <w:color w:val="FF0000"/>
                <w:szCs w:val="24"/>
                <w:u w:val="single"/>
              </w:rPr>
              <w:t>採</w:t>
            </w:r>
            <w:r w:rsidR="001B44CC" w:rsidRPr="002E1449">
              <w:rPr>
                <w:rFonts w:ascii="標楷體" w:eastAsia="標楷體" w:hAnsi="標楷體" w:hint="eastAsia"/>
                <w:bCs/>
                <w:color w:val="FF0000"/>
                <w:szCs w:val="24"/>
                <w:u w:val="single"/>
              </w:rPr>
              <w:t>電子化</w:t>
            </w:r>
            <w:r w:rsidR="001B44CC">
              <w:rPr>
                <w:rFonts w:ascii="標楷體" w:eastAsia="標楷體" w:hAnsi="標楷體" w:hint="eastAsia"/>
                <w:bCs/>
                <w:color w:val="FF0000"/>
                <w:szCs w:val="24"/>
                <w:u w:val="single"/>
              </w:rPr>
              <w:t>方式通知者</w:t>
            </w:r>
            <w:r w:rsidR="00F26003" w:rsidRPr="00F26003">
              <w:rPr>
                <w:rFonts w:ascii="標楷體" w:eastAsia="標楷體" w:hAnsi="標楷體"/>
                <w:bCs/>
                <w:color w:val="FF0000"/>
                <w:szCs w:val="24"/>
                <w:u w:val="single"/>
              </w:rPr>
              <w:t>，</w:t>
            </w:r>
            <w:r w:rsidR="00154271">
              <w:rPr>
                <w:rFonts w:ascii="標楷體" w:eastAsia="標楷體" w:hAnsi="標楷體" w:hint="eastAsia"/>
                <w:bCs/>
                <w:color w:val="FF0000"/>
                <w:szCs w:val="24"/>
                <w:u w:val="single"/>
              </w:rPr>
              <w:t>於通知之次一營業日發生</w:t>
            </w:r>
            <w:r w:rsidR="00F26003" w:rsidRPr="009738D3">
              <w:rPr>
                <w:rFonts w:ascii="標楷體" w:eastAsia="標楷體" w:hAnsi="標楷體"/>
                <w:bCs/>
                <w:color w:val="FF0000"/>
                <w:szCs w:val="24"/>
                <w:u w:val="single"/>
              </w:rPr>
              <w:t>通知</w:t>
            </w:r>
            <w:r w:rsidR="00154271">
              <w:rPr>
                <w:rFonts w:ascii="標楷體" w:eastAsia="標楷體" w:hAnsi="標楷體" w:hint="eastAsia"/>
                <w:bCs/>
                <w:color w:val="FF0000"/>
                <w:szCs w:val="24"/>
                <w:u w:val="single"/>
              </w:rPr>
              <w:t>效力</w:t>
            </w:r>
            <w:r w:rsidR="00F26003" w:rsidRPr="001B44CC">
              <w:rPr>
                <w:rFonts w:ascii="標楷體" w:eastAsia="標楷體" w:hAnsi="標楷體"/>
                <w:bCs/>
                <w:szCs w:val="24"/>
              </w:rPr>
              <w:t>。</w:t>
            </w:r>
          </w:p>
          <w:p w14:paraId="3D9D56E4"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證券商採委託人當面簽收方式通知者，委託人之簽章應與其融資融券契約簽名</w:t>
            </w:r>
            <w:r>
              <w:rPr>
                <w:rFonts w:ascii="標楷體" w:eastAsia="標楷體" w:hAnsi="標楷體"/>
                <w:bCs/>
                <w:szCs w:val="24"/>
              </w:rPr>
              <w:lastRenderedPageBreak/>
              <w:t>樣式或原留印鑑相符並親署日期。</w:t>
            </w:r>
          </w:p>
          <w:p w14:paraId="581B38DA"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委託人為全權委託投資帳戶者，證券商應將通知事項通知該帳戶之受任人及保管機構。</w:t>
            </w:r>
          </w:p>
          <w:p w14:paraId="2760DCBD" w14:textId="77777777" w:rsidR="002E1449" w:rsidRPr="00293460" w:rsidRDefault="00DC08BB" w:rsidP="00293460">
            <w:pPr>
              <w:spacing w:line="360" w:lineRule="exact"/>
              <w:ind w:firstLine="480"/>
              <w:jc w:val="both"/>
              <w:rPr>
                <w:rFonts w:ascii="標楷體" w:eastAsia="標楷體" w:hAnsi="標楷體"/>
                <w:bCs/>
                <w:szCs w:val="24"/>
              </w:rPr>
            </w:pPr>
            <w:r>
              <w:rPr>
                <w:rFonts w:ascii="標楷體" w:eastAsia="標楷體" w:hAnsi="標楷體"/>
                <w:bCs/>
                <w:szCs w:val="24"/>
              </w:rPr>
              <w:t>證券商通知委託人之紀錄，應至少保存一年。但有爭議者，應保存至該爭議消除為止。</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0F475" w14:textId="77777777" w:rsidR="00020800" w:rsidRDefault="00DC08BB">
            <w:pPr>
              <w:spacing w:line="360" w:lineRule="exact"/>
              <w:ind w:left="240" w:hanging="240"/>
              <w:jc w:val="both"/>
              <w:rPr>
                <w:rFonts w:ascii="標楷體" w:eastAsia="標楷體" w:hAnsi="標楷體"/>
                <w:bCs/>
                <w:szCs w:val="24"/>
              </w:rPr>
            </w:pPr>
            <w:r>
              <w:rPr>
                <w:rFonts w:ascii="標楷體" w:eastAsia="標楷體" w:hAnsi="標楷體"/>
                <w:bCs/>
                <w:szCs w:val="24"/>
              </w:rPr>
              <w:lastRenderedPageBreak/>
              <w:t>第四十六條</w:t>
            </w:r>
          </w:p>
          <w:p w14:paraId="21AF1661" w14:textId="77777777" w:rsidR="00020800" w:rsidRDefault="00DC08BB">
            <w:pPr>
              <w:spacing w:line="360" w:lineRule="exact"/>
              <w:ind w:firstLine="480"/>
              <w:jc w:val="both"/>
            </w:pPr>
            <w:r>
              <w:rPr>
                <w:rFonts w:ascii="標楷體" w:eastAsia="標楷體" w:hAnsi="標楷體"/>
                <w:bCs/>
                <w:szCs w:val="24"/>
              </w:rPr>
              <w:t>證券商依本辦法應行通知委託人之事項，以郵寄</w:t>
            </w:r>
            <w:r w:rsidRPr="003331F1">
              <w:rPr>
                <w:rFonts w:ascii="標楷體" w:eastAsia="標楷體" w:hAnsi="標楷體"/>
                <w:bCs/>
                <w:color w:val="FF0000"/>
                <w:szCs w:val="24"/>
                <w:u w:val="single"/>
              </w:rPr>
              <w:t>、符合電子簽章規定之</w:t>
            </w:r>
            <w:r>
              <w:rPr>
                <w:rFonts w:ascii="標楷體" w:eastAsia="標楷體" w:hAnsi="標楷體"/>
                <w:bCs/>
                <w:szCs w:val="24"/>
              </w:rPr>
              <w:t>電子郵件或委託人當面簽收方式為之。</w:t>
            </w:r>
          </w:p>
          <w:p w14:paraId="54FA53F7" w14:textId="77777777" w:rsidR="00020800" w:rsidRDefault="00020800">
            <w:pPr>
              <w:spacing w:line="360" w:lineRule="exact"/>
              <w:ind w:left="240" w:hanging="240"/>
              <w:jc w:val="both"/>
              <w:rPr>
                <w:rFonts w:ascii="標楷體" w:eastAsia="標楷體" w:hAnsi="標楷體"/>
                <w:bCs/>
                <w:szCs w:val="24"/>
              </w:rPr>
            </w:pPr>
          </w:p>
          <w:p w14:paraId="22740492" w14:textId="77777777" w:rsidR="00020800" w:rsidRDefault="00DC08BB">
            <w:pPr>
              <w:spacing w:line="360" w:lineRule="exact"/>
              <w:ind w:firstLine="480"/>
              <w:jc w:val="both"/>
            </w:pPr>
            <w:r>
              <w:rPr>
                <w:rFonts w:ascii="標楷體" w:eastAsia="標楷體" w:hAnsi="標楷體"/>
                <w:bCs/>
                <w:szCs w:val="24"/>
              </w:rPr>
              <w:t>證券商採</w:t>
            </w:r>
            <w:r w:rsidRPr="00AD0F86">
              <w:rPr>
                <w:rFonts w:ascii="標楷體" w:eastAsia="標楷體" w:hAnsi="標楷體"/>
                <w:bCs/>
                <w:szCs w:val="24"/>
              </w:rPr>
              <w:t>電子</w:t>
            </w:r>
            <w:r w:rsidRPr="00D9302C">
              <w:rPr>
                <w:rFonts w:ascii="標楷體" w:eastAsia="標楷體" w:hAnsi="標楷體"/>
                <w:bCs/>
                <w:color w:val="000000" w:themeColor="text1"/>
                <w:szCs w:val="24"/>
              </w:rPr>
              <w:t>郵件</w:t>
            </w:r>
            <w:r>
              <w:rPr>
                <w:rFonts w:ascii="標楷體" w:eastAsia="標楷體" w:hAnsi="標楷體"/>
                <w:bCs/>
                <w:szCs w:val="24"/>
              </w:rPr>
              <w:t>方式通知者，須事前取得委託人書面同意或電子同意書。</w:t>
            </w:r>
            <w:r>
              <w:rPr>
                <w:rFonts w:ascii="標楷體" w:eastAsia="標楷體" w:hAnsi="標楷體"/>
                <w:bCs/>
                <w:color w:val="EE0000"/>
                <w:szCs w:val="24"/>
                <w:u w:val="single"/>
              </w:rPr>
              <w:t>電子郵件及電子同意書相關作業，準用證券商以電子郵件寄送有價證券買賣對帳單之相關規定辦理。</w:t>
            </w:r>
          </w:p>
          <w:p w14:paraId="57E026B6" w14:textId="77777777" w:rsidR="00020800" w:rsidRDefault="00020800">
            <w:pPr>
              <w:spacing w:line="360" w:lineRule="exact"/>
              <w:ind w:firstLine="480"/>
              <w:jc w:val="both"/>
              <w:rPr>
                <w:rFonts w:ascii="標楷體" w:eastAsia="標楷體" w:hAnsi="標楷體"/>
                <w:bCs/>
                <w:color w:val="EE0000"/>
                <w:szCs w:val="24"/>
                <w:u w:val="single"/>
              </w:rPr>
            </w:pPr>
          </w:p>
          <w:p w14:paraId="4D39ED82" w14:textId="77777777" w:rsidR="00020800" w:rsidRDefault="00DC08BB">
            <w:pPr>
              <w:spacing w:line="360" w:lineRule="exact"/>
              <w:ind w:firstLine="480"/>
              <w:jc w:val="both"/>
            </w:pPr>
            <w:r>
              <w:rPr>
                <w:rFonts w:ascii="標楷體" w:eastAsia="標楷體" w:hAnsi="標楷體"/>
                <w:bCs/>
                <w:szCs w:val="24"/>
              </w:rPr>
              <w:t>證券商採</w:t>
            </w:r>
            <w:r w:rsidRPr="00AD0F86">
              <w:rPr>
                <w:rFonts w:ascii="標楷體" w:eastAsia="標楷體" w:hAnsi="標楷體"/>
                <w:bCs/>
                <w:szCs w:val="24"/>
              </w:rPr>
              <w:t>電子</w:t>
            </w:r>
            <w:r w:rsidRPr="00D9302C">
              <w:rPr>
                <w:rFonts w:ascii="標楷體" w:eastAsia="標楷體" w:hAnsi="標楷體"/>
                <w:bCs/>
                <w:color w:val="000000" w:themeColor="text1"/>
                <w:szCs w:val="24"/>
              </w:rPr>
              <w:t>郵件</w:t>
            </w:r>
            <w:r>
              <w:rPr>
                <w:rFonts w:ascii="標楷體" w:eastAsia="標楷體" w:hAnsi="標楷體"/>
                <w:bCs/>
                <w:szCs w:val="24"/>
              </w:rPr>
              <w:t>通知委託人限期辦理之截止日，與採郵寄通知方式所定截止日同。</w:t>
            </w:r>
          </w:p>
          <w:p w14:paraId="42596274"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證券商採郵寄方式通知者，因委託人未為前條之變更通知或其他可歸責委託人之事由，致無法如期送達者，於郵局第一次投遞時發生通知效力。</w:t>
            </w:r>
          </w:p>
          <w:p w14:paraId="7A22C7E4" w14:textId="77777777" w:rsidR="002E1449" w:rsidRDefault="002E1449">
            <w:pPr>
              <w:spacing w:line="360" w:lineRule="exact"/>
              <w:ind w:firstLine="480"/>
              <w:jc w:val="both"/>
              <w:rPr>
                <w:rFonts w:ascii="標楷體" w:eastAsia="標楷體" w:hAnsi="標楷體"/>
                <w:bCs/>
                <w:szCs w:val="24"/>
              </w:rPr>
            </w:pPr>
          </w:p>
          <w:p w14:paraId="235B682C" w14:textId="77777777" w:rsidR="00165091" w:rsidRDefault="00165091">
            <w:pPr>
              <w:spacing w:line="360" w:lineRule="exact"/>
              <w:ind w:firstLine="480"/>
              <w:jc w:val="both"/>
              <w:rPr>
                <w:rFonts w:ascii="標楷體" w:eastAsia="標楷體" w:hAnsi="標楷體"/>
                <w:bCs/>
                <w:szCs w:val="24"/>
              </w:rPr>
            </w:pPr>
          </w:p>
          <w:p w14:paraId="04B81AA8"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證券商採委託人當面簽收方式通知者，委託人之簽章應與其融資融券契約簽名</w:t>
            </w:r>
            <w:r>
              <w:rPr>
                <w:rFonts w:ascii="標楷體" w:eastAsia="標楷體" w:hAnsi="標楷體"/>
                <w:bCs/>
                <w:szCs w:val="24"/>
              </w:rPr>
              <w:lastRenderedPageBreak/>
              <w:t>樣式或原留印鑑相符並親署日期。</w:t>
            </w:r>
          </w:p>
          <w:p w14:paraId="25E35B20"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委託人為全權委託投資帳戶者，證券商應將通知事項通知該帳戶之受任人及保管機構。</w:t>
            </w:r>
          </w:p>
          <w:p w14:paraId="1E2BA807" w14:textId="77777777" w:rsidR="00020800" w:rsidRDefault="00DC08BB" w:rsidP="000B1A19">
            <w:pPr>
              <w:spacing w:line="360" w:lineRule="exact"/>
              <w:ind w:firstLine="480"/>
              <w:jc w:val="both"/>
              <w:rPr>
                <w:rFonts w:ascii="標楷體" w:eastAsia="標楷體" w:hAnsi="標楷體"/>
                <w:bCs/>
                <w:szCs w:val="24"/>
              </w:rPr>
            </w:pPr>
            <w:r>
              <w:rPr>
                <w:rFonts w:ascii="標楷體" w:eastAsia="標楷體" w:hAnsi="標楷體"/>
                <w:bCs/>
                <w:szCs w:val="24"/>
              </w:rPr>
              <w:t>證券商通知委託人之紀錄，應至少保存一年。但有爭議者，應保存至該爭議消除為止。</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9E060" w14:textId="77777777" w:rsidR="00E83335" w:rsidRDefault="00DC08BB" w:rsidP="009355A2">
            <w:pPr>
              <w:spacing w:line="360" w:lineRule="exact"/>
              <w:ind w:left="480" w:hanging="480"/>
              <w:jc w:val="both"/>
              <w:rPr>
                <w:rFonts w:ascii="Times New Roman" w:eastAsia="標楷體" w:hAnsi="Times New Roman"/>
                <w:color w:val="000000" w:themeColor="text1"/>
                <w:szCs w:val="24"/>
              </w:rPr>
            </w:pPr>
            <w:r w:rsidRPr="00E839FB">
              <w:rPr>
                <w:rFonts w:ascii="Times New Roman" w:eastAsia="標楷體" w:hAnsi="Times New Roman"/>
                <w:color w:val="000000" w:themeColor="text1"/>
                <w:szCs w:val="24"/>
              </w:rPr>
              <w:lastRenderedPageBreak/>
              <w:t>一、</w:t>
            </w:r>
            <w:r w:rsidR="00F77B13">
              <w:rPr>
                <w:rFonts w:ascii="Times New Roman" w:eastAsia="標楷體" w:hAnsi="Times New Roman" w:hint="eastAsia"/>
                <w:color w:val="000000" w:themeColor="text1"/>
                <w:szCs w:val="24"/>
              </w:rPr>
              <w:t>因應數位化發展趨勢</w:t>
            </w:r>
            <w:r w:rsidR="000375F2" w:rsidRPr="00F71D98">
              <w:rPr>
                <w:rFonts w:ascii="標楷體" w:eastAsia="標楷體" w:hAnsi="標楷體" w:hint="eastAsia"/>
                <w:szCs w:val="24"/>
              </w:rPr>
              <w:t>，</w:t>
            </w:r>
            <w:r w:rsidR="00F77B13">
              <w:rPr>
                <w:rFonts w:ascii="標楷體" w:eastAsia="標楷體" w:hAnsi="標楷體" w:hint="eastAsia"/>
                <w:szCs w:val="24"/>
              </w:rPr>
              <w:t>為</w:t>
            </w:r>
            <w:r w:rsidR="00225C54">
              <w:rPr>
                <w:rFonts w:ascii="標楷體" w:eastAsia="標楷體" w:hAnsi="標楷體" w:hint="eastAsia"/>
                <w:szCs w:val="24"/>
              </w:rPr>
              <w:t>滿足</w:t>
            </w:r>
            <w:r w:rsidR="00AA6DF9" w:rsidRPr="00F71D98">
              <w:rPr>
                <w:rFonts w:ascii="標楷體" w:eastAsia="標楷體" w:hAnsi="標楷體" w:hint="eastAsia"/>
                <w:szCs w:val="24"/>
              </w:rPr>
              <w:t>電子化</w:t>
            </w:r>
            <w:r w:rsidR="00F77B13">
              <w:rPr>
                <w:rFonts w:ascii="標楷體" w:eastAsia="標楷體" w:hAnsi="標楷體" w:hint="eastAsia"/>
                <w:szCs w:val="24"/>
              </w:rPr>
              <w:t>通知</w:t>
            </w:r>
            <w:r w:rsidR="000375F2" w:rsidRPr="00F71D98">
              <w:rPr>
                <w:rFonts w:ascii="標楷體" w:eastAsia="標楷體" w:hAnsi="標楷體" w:hint="eastAsia"/>
                <w:szCs w:val="24"/>
              </w:rPr>
              <w:t>方式</w:t>
            </w:r>
            <w:r w:rsidR="00F77B13">
              <w:rPr>
                <w:rFonts w:ascii="標楷體" w:eastAsia="標楷體" w:hAnsi="標楷體" w:hint="eastAsia"/>
                <w:szCs w:val="24"/>
              </w:rPr>
              <w:t>之</w:t>
            </w:r>
            <w:r w:rsidR="00AA6DF9" w:rsidRPr="00F71D98">
              <w:rPr>
                <w:rFonts w:ascii="標楷體" w:eastAsia="標楷體" w:hAnsi="標楷體" w:hint="eastAsia"/>
                <w:szCs w:val="24"/>
              </w:rPr>
              <w:t>實務需求，</w:t>
            </w:r>
            <w:r w:rsidR="006C0331" w:rsidRPr="00F71D98">
              <w:rPr>
                <w:rFonts w:ascii="Times New Roman" w:eastAsia="標楷體" w:hAnsi="Times New Roman" w:hint="eastAsia"/>
                <w:color w:val="000000" w:themeColor="text1"/>
                <w:szCs w:val="24"/>
              </w:rPr>
              <w:t>爰</w:t>
            </w:r>
            <w:r w:rsidR="006C0331" w:rsidRPr="00F71D98">
              <w:rPr>
                <w:rFonts w:ascii="Times New Roman" w:eastAsia="標楷體" w:hAnsi="Times New Roman"/>
                <w:color w:val="000000" w:themeColor="text1"/>
                <w:szCs w:val="24"/>
              </w:rPr>
              <w:t>於第一項</w:t>
            </w:r>
            <w:r w:rsidR="006C0331" w:rsidRPr="00F71D98">
              <w:rPr>
                <w:rFonts w:ascii="Times New Roman" w:eastAsia="標楷體" w:hAnsi="Times New Roman" w:hint="eastAsia"/>
                <w:color w:val="000000" w:themeColor="text1"/>
                <w:szCs w:val="24"/>
              </w:rPr>
              <w:t>增</w:t>
            </w:r>
            <w:r w:rsidR="00225C54">
              <w:rPr>
                <w:rFonts w:ascii="Times New Roman" w:eastAsia="標楷體" w:hAnsi="Times New Roman" w:hint="eastAsia"/>
                <w:color w:val="000000" w:themeColor="text1"/>
                <w:szCs w:val="24"/>
              </w:rPr>
              <w:t>列以</w:t>
            </w:r>
            <w:r w:rsidRPr="00F71D98">
              <w:rPr>
                <w:rFonts w:ascii="Times New Roman" w:eastAsia="標楷體" w:hAnsi="Times New Roman"/>
                <w:color w:val="000000" w:themeColor="text1"/>
                <w:szCs w:val="24"/>
              </w:rPr>
              <w:t>手機簡訊及公司行動裝置應用軟體</w:t>
            </w:r>
            <w:r w:rsidR="00225C54">
              <w:rPr>
                <w:rFonts w:ascii="Times New Roman" w:eastAsia="標楷體" w:hAnsi="Times New Roman" w:hint="eastAsia"/>
                <w:color w:val="000000" w:themeColor="text1"/>
                <w:szCs w:val="24"/>
              </w:rPr>
              <w:t>進行</w:t>
            </w:r>
            <w:r w:rsidR="00AA6DF9" w:rsidRPr="00F71D98">
              <w:rPr>
                <w:rFonts w:ascii="標楷體" w:eastAsia="標楷體" w:hAnsi="標楷體" w:hint="eastAsia"/>
                <w:szCs w:val="24"/>
              </w:rPr>
              <w:t>電子化</w:t>
            </w:r>
            <w:r w:rsidRPr="00F71D98">
              <w:rPr>
                <w:rFonts w:ascii="Times New Roman" w:eastAsia="標楷體" w:hAnsi="Times New Roman"/>
                <w:color w:val="000000" w:themeColor="text1"/>
                <w:szCs w:val="24"/>
              </w:rPr>
              <w:t>通知</w:t>
            </w:r>
            <w:r w:rsidR="00225C54">
              <w:rPr>
                <w:rFonts w:ascii="Times New Roman" w:eastAsia="標楷體" w:hAnsi="Times New Roman" w:hint="eastAsia"/>
                <w:color w:val="000000" w:themeColor="text1"/>
                <w:szCs w:val="24"/>
              </w:rPr>
              <w:t>之</w:t>
            </w:r>
            <w:r w:rsidRPr="00F71D98">
              <w:rPr>
                <w:rFonts w:ascii="Times New Roman" w:eastAsia="標楷體" w:hAnsi="Times New Roman"/>
                <w:color w:val="000000" w:themeColor="text1"/>
                <w:szCs w:val="24"/>
              </w:rPr>
              <w:t>方式。</w:t>
            </w:r>
          </w:p>
          <w:p w14:paraId="40816F75" w14:textId="77777777" w:rsidR="00020800" w:rsidRPr="00E907B7" w:rsidRDefault="003331F1" w:rsidP="00E907B7">
            <w:pPr>
              <w:spacing w:line="360" w:lineRule="exact"/>
              <w:ind w:left="480" w:hanging="480"/>
              <w:jc w:val="both"/>
              <w:rPr>
                <w:rFonts w:ascii="標楷體" w:eastAsia="標楷體" w:hAnsi="標楷體"/>
                <w:color w:val="000000" w:themeColor="text1"/>
                <w:szCs w:val="24"/>
              </w:rPr>
            </w:pPr>
            <w:r w:rsidRPr="003331F1">
              <w:rPr>
                <w:rFonts w:ascii="Times New Roman" w:eastAsia="標楷體" w:hAnsi="Times New Roman" w:hint="eastAsia"/>
                <w:color w:val="000000" w:themeColor="text1"/>
                <w:szCs w:val="24"/>
              </w:rPr>
              <w:t>二、參</w:t>
            </w:r>
            <w:r w:rsidRPr="00E907B7">
              <w:rPr>
                <w:rFonts w:ascii="Times New Roman" w:eastAsia="標楷體" w:hAnsi="Times New Roman" w:hint="eastAsia"/>
                <w:color w:val="000000" w:themeColor="text1"/>
                <w:szCs w:val="24"/>
              </w:rPr>
              <w:t>酌</w:t>
            </w:r>
            <w:r w:rsidRPr="00E907B7">
              <w:rPr>
                <w:rFonts w:ascii="Times New Roman" w:eastAsia="標楷體" w:hAnsi="Times New Roman" w:hint="eastAsia"/>
                <w:color w:val="000000" w:themeColor="text1"/>
                <w:szCs w:val="24"/>
              </w:rPr>
              <w:t>113</w:t>
            </w:r>
            <w:r w:rsidRPr="00E907B7">
              <w:rPr>
                <w:rFonts w:ascii="Times New Roman" w:eastAsia="標楷體" w:hAnsi="Times New Roman" w:hint="eastAsia"/>
                <w:color w:val="000000" w:themeColor="text1"/>
                <w:szCs w:val="24"/>
              </w:rPr>
              <w:t>年</w:t>
            </w:r>
            <w:r w:rsidRPr="00E907B7">
              <w:rPr>
                <w:rFonts w:ascii="Times New Roman" w:eastAsia="標楷體" w:hAnsi="Times New Roman" w:hint="eastAsia"/>
                <w:color w:val="000000" w:themeColor="text1"/>
                <w:szCs w:val="24"/>
              </w:rPr>
              <w:t>4</w:t>
            </w:r>
            <w:r w:rsidRPr="00E907B7">
              <w:rPr>
                <w:rFonts w:ascii="Times New Roman" w:eastAsia="標楷體" w:hAnsi="Times New Roman" w:hint="eastAsia"/>
                <w:color w:val="000000" w:themeColor="text1"/>
                <w:szCs w:val="24"/>
              </w:rPr>
              <w:t>月</w:t>
            </w:r>
            <w:r w:rsidRPr="00E907B7">
              <w:rPr>
                <w:rFonts w:ascii="Times New Roman" w:eastAsia="標楷體" w:hAnsi="Times New Roman" w:hint="eastAsia"/>
                <w:color w:val="000000" w:themeColor="text1"/>
                <w:szCs w:val="24"/>
              </w:rPr>
              <w:t>30</w:t>
            </w:r>
            <w:r w:rsidRPr="00E907B7">
              <w:rPr>
                <w:rFonts w:ascii="Times New Roman" w:eastAsia="標楷體" w:hAnsi="Times New Roman" w:hint="eastAsia"/>
                <w:color w:val="000000" w:themeColor="text1"/>
                <w:szCs w:val="24"/>
              </w:rPr>
              <w:t>日電子簽章法修正案，原本需事先取</w:t>
            </w:r>
            <w:r w:rsidRPr="00E907B7">
              <w:rPr>
                <w:rFonts w:ascii="標楷體" w:eastAsia="標楷體" w:hAnsi="標楷體" w:hint="eastAsia"/>
                <w:color w:val="000000" w:themeColor="text1"/>
                <w:szCs w:val="24"/>
              </w:rPr>
              <w:t>得相對人同意才能使用電子簽章，修法後改採「默示同意」機制，僅需給予合理反對期間即視為同意。但證券交易市場實務仍以明示同意（如事前簽署同意書）為原則，</w:t>
            </w:r>
            <w:r w:rsidR="00E907B7" w:rsidRPr="00E907B7">
              <w:rPr>
                <w:rFonts w:ascii="標楷體" w:eastAsia="標楷體" w:hAnsi="標楷體" w:hint="eastAsia"/>
                <w:color w:val="000000" w:themeColor="text1"/>
                <w:szCs w:val="24"/>
              </w:rPr>
              <w:t>爰</w:t>
            </w:r>
            <w:r w:rsidRPr="00E907B7">
              <w:rPr>
                <w:rFonts w:ascii="標楷體" w:eastAsia="標楷體" w:hAnsi="標楷體" w:hint="eastAsia"/>
                <w:color w:val="000000" w:themeColor="text1"/>
                <w:szCs w:val="24"/>
              </w:rPr>
              <w:t>刪除</w:t>
            </w:r>
            <w:r w:rsidR="00E907B7" w:rsidRPr="00E907B7">
              <w:rPr>
                <w:rFonts w:ascii="標楷體" w:eastAsia="標楷體" w:hAnsi="標楷體" w:hint="eastAsia"/>
                <w:color w:val="000000" w:themeColor="text1"/>
                <w:szCs w:val="24"/>
              </w:rPr>
              <w:t>第一項「</w:t>
            </w:r>
            <w:r w:rsidRPr="00E907B7">
              <w:rPr>
                <w:rFonts w:ascii="標楷體" w:eastAsia="標楷體" w:hAnsi="標楷體" w:hint="eastAsia"/>
                <w:color w:val="000000" w:themeColor="text1"/>
                <w:szCs w:val="24"/>
              </w:rPr>
              <w:t>符合電子簽章規定</w:t>
            </w:r>
            <w:r w:rsidR="00E907B7" w:rsidRPr="00E907B7">
              <w:rPr>
                <w:rFonts w:ascii="標楷體" w:eastAsia="標楷體" w:hAnsi="標楷體" w:hint="eastAsia"/>
                <w:color w:val="000000" w:themeColor="text1"/>
                <w:szCs w:val="24"/>
              </w:rPr>
              <w:t>」</w:t>
            </w:r>
            <w:r w:rsidRPr="00E907B7">
              <w:rPr>
                <w:rFonts w:ascii="標楷體" w:eastAsia="標楷體" w:hAnsi="標楷體" w:hint="eastAsia"/>
                <w:color w:val="000000" w:themeColor="text1"/>
                <w:szCs w:val="24"/>
              </w:rPr>
              <w:t>之文字。另</w:t>
            </w:r>
            <w:r w:rsidR="00E907B7" w:rsidRPr="00E907B7">
              <w:rPr>
                <w:rFonts w:ascii="標楷體" w:eastAsia="標楷體" w:hAnsi="標楷體" w:hint="eastAsia"/>
                <w:color w:val="000000" w:themeColor="text1"/>
                <w:szCs w:val="24"/>
              </w:rPr>
              <w:t>為保障</w:t>
            </w:r>
            <w:r w:rsidR="00E907B7">
              <w:rPr>
                <w:rFonts w:ascii="標楷體" w:eastAsia="標楷體" w:hAnsi="標楷體" w:hint="eastAsia"/>
                <w:color w:val="000000" w:themeColor="text1"/>
                <w:szCs w:val="24"/>
              </w:rPr>
              <w:t>證券商及</w:t>
            </w:r>
            <w:r w:rsidR="00E907B7" w:rsidRPr="00E907B7">
              <w:rPr>
                <w:rFonts w:ascii="標楷體" w:eastAsia="標楷體" w:hAnsi="標楷體" w:hint="eastAsia"/>
                <w:color w:val="000000" w:themeColor="text1"/>
                <w:szCs w:val="24"/>
              </w:rPr>
              <w:t>委託人雙方權利</w:t>
            </w:r>
            <w:r w:rsidR="00E907B7">
              <w:rPr>
                <w:rFonts w:ascii="標楷體" w:eastAsia="標楷體" w:hAnsi="標楷體" w:hint="eastAsia"/>
                <w:color w:val="000000" w:themeColor="text1"/>
                <w:szCs w:val="24"/>
              </w:rPr>
              <w:t>，併同於第二項後段</w:t>
            </w:r>
            <w:r w:rsidRPr="00E907B7">
              <w:rPr>
                <w:rFonts w:ascii="標楷體" w:eastAsia="標楷體" w:hAnsi="標楷體" w:hint="eastAsia"/>
                <w:color w:val="000000" w:themeColor="text1"/>
                <w:szCs w:val="24"/>
              </w:rPr>
              <w:t>增</w:t>
            </w:r>
            <w:r w:rsidR="00E907B7">
              <w:rPr>
                <w:rFonts w:ascii="標楷體" w:eastAsia="標楷體" w:hAnsi="標楷體" w:hint="eastAsia"/>
                <w:color w:val="000000" w:themeColor="text1"/>
                <w:szCs w:val="24"/>
              </w:rPr>
              <w:t>訂</w:t>
            </w:r>
            <w:r w:rsidRPr="00E907B7">
              <w:rPr>
                <w:rFonts w:ascii="標楷體" w:eastAsia="標楷體" w:hAnsi="標楷體" w:hint="eastAsia"/>
                <w:color w:val="000000" w:themeColor="text1"/>
                <w:szCs w:val="24"/>
              </w:rPr>
              <w:t>委託人得更改通知方式之相關規定。</w:t>
            </w:r>
          </w:p>
          <w:p w14:paraId="409DB844" w14:textId="77777777" w:rsidR="00020800" w:rsidRPr="00E839FB" w:rsidRDefault="009355A2">
            <w:pPr>
              <w:spacing w:line="360" w:lineRule="exact"/>
              <w:ind w:left="480" w:hanging="480"/>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三</w:t>
            </w:r>
            <w:r w:rsidR="00DC08BB" w:rsidRPr="00E839FB">
              <w:rPr>
                <w:rFonts w:ascii="Times New Roman" w:eastAsia="標楷體" w:hAnsi="Times New Roman"/>
                <w:color w:val="000000" w:themeColor="text1"/>
                <w:szCs w:val="24"/>
              </w:rPr>
              <w:t>、</w:t>
            </w:r>
            <w:r w:rsidR="00DC3A75" w:rsidRPr="00F71D98">
              <w:rPr>
                <w:rFonts w:ascii="Times New Roman" w:eastAsia="標楷體" w:hAnsi="Times New Roman" w:hint="eastAsia"/>
                <w:color w:val="000000" w:themeColor="text1"/>
                <w:szCs w:val="24"/>
              </w:rPr>
              <w:t>考量</w:t>
            </w:r>
            <w:r w:rsidR="00DC08BB" w:rsidRPr="00F71D98">
              <w:rPr>
                <w:rFonts w:ascii="Times New Roman" w:eastAsia="標楷體" w:hAnsi="Times New Roman"/>
                <w:color w:val="000000" w:themeColor="text1"/>
                <w:szCs w:val="24"/>
              </w:rPr>
              <w:t>現行</w:t>
            </w:r>
            <w:r w:rsidR="00DC3A75" w:rsidRPr="00F71D98">
              <w:rPr>
                <w:rFonts w:ascii="Times New Roman" w:eastAsia="標楷體" w:hAnsi="Times New Roman" w:hint="eastAsia"/>
                <w:color w:val="000000" w:themeColor="text1"/>
                <w:szCs w:val="24"/>
              </w:rPr>
              <w:t>「證券商內部控制制度標準規範</w:t>
            </w:r>
            <w:r w:rsidR="00DC3A75" w:rsidRPr="00F71D98">
              <w:rPr>
                <w:rFonts w:ascii="Times New Roman" w:eastAsia="標楷體" w:hAnsi="Times New Roman"/>
                <w:color w:val="000000" w:themeColor="text1"/>
                <w:szCs w:val="24"/>
              </w:rPr>
              <w:t>CA-11140</w:t>
            </w:r>
            <w:r w:rsidR="00DC3A75" w:rsidRPr="00F71D98">
              <w:rPr>
                <w:rFonts w:ascii="Times New Roman" w:eastAsia="標楷體" w:hAnsi="Times New Roman" w:hint="eastAsia"/>
                <w:color w:val="000000" w:themeColor="text1"/>
                <w:szCs w:val="24"/>
              </w:rPr>
              <w:t>客戶帳戶之管理作業」</w:t>
            </w:r>
            <w:r w:rsidR="00E37ACB" w:rsidRPr="00F71D98">
              <w:rPr>
                <w:rFonts w:ascii="Times New Roman" w:eastAsia="標楷體" w:hAnsi="Times New Roman" w:hint="eastAsia"/>
                <w:color w:val="000000" w:themeColor="text1"/>
                <w:szCs w:val="24"/>
              </w:rPr>
              <w:t>之對帳單寄送與查對紀錄作業</w:t>
            </w:r>
            <w:r w:rsidR="00DC3A75" w:rsidRPr="00F71D98">
              <w:rPr>
                <w:rFonts w:ascii="Times New Roman" w:eastAsia="標楷體" w:hAnsi="Times New Roman" w:hint="eastAsia"/>
                <w:color w:val="000000" w:themeColor="text1"/>
                <w:szCs w:val="24"/>
              </w:rPr>
              <w:t>規定，以客戶讀取回條為有效送達，未能有效送達者</w:t>
            </w:r>
            <w:r w:rsidR="00E37ACB" w:rsidRPr="00F71D98">
              <w:rPr>
                <w:rFonts w:ascii="Times New Roman" w:eastAsia="標楷體" w:hAnsi="Times New Roman" w:hint="eastAsia"/>
                <w:color w:val="000000" w:themeColor="text1"/>
                <w:szCs w:val="24"/>
              </w:rPr>
              <w:t>，</w:t>
            </w:r>
            <w:r w:rsidR="00DC3A75" w:rsidRPr="00F71D98">
              <w:rPr>
                <w:rFonts w:ascii="Times New Roman" w:eastAsia="標楷體" w:hAnsi="Times New Roman" w:hint="eastAsia"/>
                <w:color w:val="000000" w:themeColor="text1"/>
                <w:szCs w:val="24"/>
              </w:rPr>
              <w:t>應立即進行紙本補寄</w:t>
            </w:r>
            <w:r w:rsidR="00E37ACB" w:rsidRPr="00F71D98">
              <w:rPr>
                <w:rFonts w:ascii="Times New Roman" w:eastAsia="標楷體" w:hAnsi="Times New Roman" w:hint="eastAsia"/>
                <w:color w:val="000000" w:themeColor="text1"/>
                <w:szCs w:val="24"/>
              </w:rPr>
              <w:t>等</w:t>
            </w:r>
            <w:r w:rsidR="00E37ACB" w:rsidRPr="00F71D98">
              <w:rPr>
                <w:rFonts w:ascii="Times New Roman" w:eastAsia="標楷體" w:hAnsi="Times New Roman" w:hint="eastAsia"/>
                <w:color w:val="000000" w:themeColor="text1"/>
                <w:szCs w:val="24"/>
              </w:rPr>
              <w:lastRenderedPageBreak/>
              <w:t>相關作業規範，均不適</w:t>
            </w:r>
            <w:r w:rsidR="003F39D0" w:rsidRPr="00F71D98">
              <w:rPr>
                <w:rFonts w:ascii="Times New Roman" w:eastAsia="標楷體" w:hAnsi="Times New Roman" w:hint="eastAsia"/>
                <w:color w:val="000000" w:themeColor="text1"/>
                <w:szCs w:val="24"/>
              </w:rPr>
              <w:t>用</w:t>
            </w:r>
            <w:r w:rsidR="00891B43" w:rsidRPr="00F71D98">
              <w:rPr>
                <w:rFonts w:ascii="Times New Roman" w:eastAsia="標楷體" w:hAnsi="Times New Roman" w:hint="eastAsia"/>
                <w:color w:val="000000" w:themeColor="text1"/>
                <w:szCs w:val="24"/>
              </w:rPr>
              <w:t>於本條規範之通知送達</w:t>
            </w:r>
            <w:r w:rsidR="00891B43" w:rsidRPr="00F71D98">
              <w:rPr>
                <w:rFonts w:ascii="Times New Roman" w:eastAsia="標楷體" w:hAnsi="Times New Roman"/>
                <w:color w:val="000000" w:themeColor="text1"/>
                <w:szCs w:val="24"/>
              </w:rPr>
              <w:t>方式</w:t>
            </w:r>
            <w:r w:rsidR="00891B43" w:rsidRPr="00F71D98">
              <w:rPr>
                <w:rFonts w:ascii="Times New Roman" w:eastAsia="標楷體" w:hAnsi="Times New Roman" w:hint="eastAsia"/>
                <w:color w:val="000000" w:themeColor="text1"/>
                <w:szCs w:val="24"/>
              </w:rPr>
              <w:t>及通知</w:t>
            </w:r>
            <w:r w:rsidR="00CA6F0F">
              <w:rPr>
                <w:rFonts w:ascii="Times New Roman" w:eastAsia="標楷體" w:hAnsi="Times New Roman" w:hint="eastAsia"/>
                <w:color w:val="000000" w:themeColor="text1"/>
                <w:szCs w:val="24"/>
              </w:rPr>
              <w:t>效</w:t>
            </w:r>
            <w:r w:rsidR="00891B43" w:rsidRPr="00F71D98">
              <w:rPr>
                <w:rFonts w:ascii="Times New Roman" w:eastAsia="標楷體" w:hAnsi="Times New Roman" w:hint="eastAsia"/>
                <w:color w:val="000000" w:themeColor="text1"/>
                <w:szCs w:val="24"/>
              </w:rPr>
              <w:t>力等規定</w:t>
            </w:r>
            <w:r w:rsidR="003F39D0" w:rsidRPr="00F71D98">
              <w:rPr>
                <w:rFonts w:ascii="Times New Roman" w:eastAsia="標楷體" w:hAnsi="Times New Roman" w:hint="eastAsia"/>
                <w:color w:val="000000" w:themeColor="text1"/>
                <w:szCs w:val="24"/>
              </w:rPr>
              <w:t>，</w:t>
            </w:r>
            <w:r w:rsidR="00891B43" w:rsidRPr="00F71D98">
              <w:rPr>
                <w:rFonts w:ascii="Times New Roman" w:eastAsia="標楷體" w:hAnsi="Times New Roman" w:hint="eastAsia"/>
                <w:color w:val="000000" w:themeColor="text1"/>
                <w:szCs w:val="24"/>
              </w:rPr>
              <w:t>爰刪</w:t>
            </w:r>
            <w:r w:rsidR="0039481C" w:rsidRPr="00F71D98">
              <w:rPr>
                <w:rFonts w:ascii="Times New Roman" w:eastAsia="標楷體" w:hAnsi="Times New Roman" w:hint="eastAsia"/>
                <w:color w:val="000000" w:themeColor="text1"/>
                <w:szCs w:val="24"/>
              </w:rPr>
              <w:t>除</w:t>
            </w:r>
            <w:r w:rsidR="00891B43" w:rsidRPr="00F71D98">
              <w:rPr>
                <w:rFonts w:ascii="Times New Roman" w:eastAsia="標楷體" w:hAnsi="Times New Roman" w:hint="eastAsia"/>
                <w:color w:val="000000" w:themeColor="text1"/>
                <w:szCs w:val="24"/>
              </w:rPr>
              <w:t>第</w:t>
            </w:r>
            <w:r w:rsidR="0039481C" w:rsidRPr="00F71D98">
              <w:rPr>
                <w:rFonts w:ascii="Times New Roman" w:eastAsia="標楷體" w:hAnsi="Times New Roman"/>
                <w:color w:val="000000" w:themeColor="text1"/>
                <w:szCs w:val="24"/>
              </w:rPr>
              <w:t>二</w:t>
            </w:r>
            <w:r w:rsidR="00891B43" w:rsidRPr="00F71D98">
              <w:rPr>
                <w:rFonts w:ascii="Times New Roman" w:eastAsia="標楷體" w:hAnsi="Times New Roman" w:hint="eastAsia"/>
                <w:color w:val="000000" w:themeColor="text1"/>
                <w:szCs w:val="24"/>
              </w:rPr>
              <w:t>項</w:t>
            </w:r>
            <w:r w:rsidR="00891B43" w:rsidRPr="00F71D98">
              <w:rPr>
                <w:rFonts w:ascii="Times New Roman" w:eastAsia="標楷體" w:hAnsi="Times New Roman"/>
                <w:color w:val="000000" w:themeColor="text1"/>
                <w:szCs w:val="24"/>
              </w:rPr>
              <w:t>準用證券商寄送對帳單之相關規定</w:t>
            </w:r>
            <w:r w:rsidR="00891B43" w:rsidRPr="00F71D98">
              <w:rPr>
                <w:rFonts w:ascii="Times New Roman" w:eastAsia="標楷體" w:hAnsi="Times New Roman" w:hint="eastAsia"/>
                <w:color w:val="000000" w:themeColor="text1"/>
                <w:szCs w:val="24"/>
              </w:rPr>
              <w:t>文字</w:t>
            </w:r>
            <w:r w:rsidR="00DC08BB" w:rsidRPr="00F71D98">
              <w:rPr>
                <w:rFonts w:ascii="Times New Roman" w:eastAsia="標楷體" w:hAnsi="Times New Roman"/>
                <w:color w:val="000000" w:themeColor="text1"/>
                <w:szCs w:val="24"/>
              </w:rPr>
              <w:t>。</w:t>
            </w:r>
          </w:p>
          <w:p w14:paraId="7DB2DD98" w14:textId="77777777" w:rsidR="00020800" w:rsidRDefault="009355A2" w:rsidP="009D0344">
            <w:pPr>
              <w:spacing w:line="360" w:lineRule="exact"/>
              <w:ind w:left="480" w:hanging="480"/>
              <w:jc w:val="both"/>
              <w:rPr>
                <w:rFonts w:ascii="Times New Roman" w:eastAsia="標楷體" w:hAnsi="Times New Roman"/>
                <w:color w:val="000000" w:themeColor="text1"/>
                <w:szCs w:val="24"/>
              </w:rPr>
            </w:pPr>
            <w:r>
              <w:rPr>
                <w:rFonts w:ascii="Times New Roman" w:eastAsia="標楷體" w:hAnsi="Times New Roman" w:hint="eastAsia"/>
                <w:color w:val="000000" w:themeColor="text1"/>
                <w:szCs w:val="24"/>
              </w:rPr>
              <w:t>四</w:t>
            </w:r>
            <w:r w:rsidR="00DC08BB" w:rsidRPr="00E839FB">
              <w:rPr>
                <w:rFonts w:ascii="Times New Roman" w:eastAsia="標楷體" w:hAnsi="Times New Roman"/>
                <w:color w:val="000000" w:themeColor="text1"/>
                <w:szCs w:val="24"/>
              </w:rPr>
              <w:t>、</w:t>
            </w:r>
            <w:r w:rsidR="00065A2C" w:rsidRPr="00E839FB">
              <w:rPr>
                <w:rFonts w:ascii="Times New Roman" w:eastAsia="標楷體" w:hAnsi="Times New Roman"/>
                <w:color w:val="000000" w:themeColor="text1"/>
                <w:szCs w:val="24"/>
              </w:rPr>
              <w:t>為避免證券商縮短投資人之追繳期限，</w:t>
            </w:r>
            <w:r w:rsidR="00065A2C" w:rsidRPr="009D0344">
              <w:rPr>
                <w:rFonts w:ascii="Times New Roman" w:eastAsia="標楷體" w:hAnsi="Times New Roman" w:hint="eastAsia"/>
                <w:color w:val="000000" w:themeColor="text1"/>
                <w:szCs w:val="24"/>
              </w:rPr>
              <w:t>明定</w:t>
            </w:r>
            <w:r w:rsidR="00065A2C" w:rsidRPr="00E839FB">
              <w:rPr>
                <w:rFonts w:ascii="Times New Roman" w:eastAsia="標楷體" w:hAnsi="Times New Roman"/>
                <w:color w:val="000000" w:themeColor="text1"/>
                <w:szCs w:val="24"/>
              </w:rPr>
              <w:t>證券商以電子化方式</w:t>
            </w:r>
            <w:r w:rsidR="00065A2C" w:rsidRPr="009D0344">
              <w:rPr>
                <w:rFonts w:ascii="Times New Roman" w:eastAsia="標楷體" w:hAnsi="Times New Roman" w:hint="eastAsia"/>
                <w:color w:val="000000" w:themeColor="text1"/>
                <w:szCs w:val="24"/>
              </w:rPr>
              <w:t>通知</w:t>
            </w:r>
            <w:r w:rsidR="00065A2C" w:rsidRPr="00E839FB">
              <w:rPr>
                <w:rFonts w:ascii="Times New Roman" w:eastAsia="標楷體" w:hAnsi="Times New Roman"/>
                <w:color w:val="000000" w:themeColor="text1"/>
                <w:szCs w:val="24"/>
              </w:rPr>
              <w:t>者，委託人辦理期限之截止日期與郵寄方式相同</w:t>
            </w:r>
            <w:r w:rsidR="00065A2C" w:rsidRPr="009D0344">
              <w:rPr>
                <w:rFonts w:ascii="Times New Roman" w:eastAsia="標楷體" w:hAnsi="Times New Roman" w:hint="eastAsia"/>
                <w:color w:val="000000" w:themeColor="text1"/>
                <w:szCs w:val="24"/>
              </w:rPr>
              <w:t>，爰修正第三項</w:t>
            </w:r>
            <w:r w:rsidR="00065A2C" w:rsidRPr="00E839FB">
              <w:rPr>
                <w:rFonts w:ascii="Times New Roman" w:eastAsia="標楷體" w:hAnsi="Times New Roman"/>
                <w:color w:val="000000" w:themeColor="text1"/>
                <w:szCs w:val="24"/>
              </w:rPr>
              <w:t>。</w:t>
            </w:r>
          </w:p>
          <w:p w14:paraId="51EC08B4" w14:textId="77777777" w:rsidR="007E4A65" w:rsidRPr="002A20E0" w:rsidRDefault="009355A2" w:rsidP="007D2AC2">
            <w:pPr>
              <w:spacing w:line="360" w:lineRule="exact"/>
              <w:ind w:left="480" w:hanging="480"/>
              <w:jc w:val="both"/>
              <w:rPr>
                <w:rFonts w:ascii="標楷體" w:eastAsia="標楷體" w:hAnsi="標楷體"/>
                <w:szCs w:val="24"/>
              </w:rPr>
            </w:pPr>
            <w:r>
              <w:rPr>
                <w:rFonts w:ascii="Times New Roman" w:eastAsia="標楷體" w:hAnsi="Times New Roman" w:hint="eastAsia"/>
                <w:color w:val="000000" w:themeColor="text1"/>
                <w:szCs w:val="24"/>
              </w:rPr>
              <w:t>五</w:t>
            </w:r>
            <w:r w:rsidR="00837DBD" w:rsidRPr="00E839FB">
              <w:rPr>
                <w:rFonts w:ascii="Times New Roman" w:eastAsia="標楷體" w:hAnsi="Times New Roman"/>
                <w:color w:val="000000" w:themeColor="text1"/>
                <w:szCs w:val="24"/>
              </w:rPr>
              <w:t>、</w:t>
            </w:r>
            <w:r w:rsidR="002A20E0">
              <w:rPr>
                <w:rFonts w:ascii="Times New Roman" w:eastAsia="標楷體" w:hAnsi="Times New Roman" w:hint="eastAsia"/>
                <w:color w:val="000000" w:themeColor="text1"/>
                <w:szCs w:val="24"/>
              </w:rPr>
              <w:t>配合新增</w:t>
            </w:r>
            <w:r w:rsidR="00837DBD" w:rsidRPr="00F71D98">
              <w:rPr>
                <w:rFonts w:ascii="標楷體" w:eastAsia="標楷體" w:hAnsi="標楷體" w:hint="eastAsia"/>
                <w:bCs/>
                <w:szCs w:val="24"/>
              </w:rPr>
              <w:t>電子化</w:t>
            </w:r>
            <w:r w:rsidR="00837DBD" w:rsidRPr="00F71D98">
              <w:rPr>
                <w:rFonts w:ascii="標楷體" w:eastAsia="標楷體" w:hAnsi="標楷體"/>
                <w:bCs/>
                <w:szCs w:val="24"/>
              </w:rPr>
              <w:t>通知</w:t>
            </w:r>
            <w:r w:rsidR="002A20E0">
              <w:rPr>
                <w:rFonts w:ascii="標楷體" w:eastAsia="標楷體" w:hAnsi="標楷體" w:hint="eastAsia"/>
                <w:bCs/>
                <w:szCs w:val="24"/>
              </w:rPr>
              <w:t>方式</w:t>
            </w:r>
            <w:r w:rsidR="00837DBD" w:rsidRPr="00F71D98">
              <w:rPr>
                <w:rFonts w:ascii="標楷體" w:eastAsia="標楷體" w:hAnsi="標楷體" w:hint="eastAsia"/>
                <w:bCs/>
                <w:szCs w:val="24"/>
              </w:rPr>
              <w:t>，</w:t>
            </w:r>
            <w:r w:rsidR="00837DBD" w:rsidRPr="00F71D98">
              <w:rPr>
                <w:rFonts w:ascii="標楷體" w:eastAsia="標楷體" w:hAnsi="標楷體" w:hint="eastAsia"/>
                <w:szCs w:val="24"/>
              </w:rPr>
              <w:t>明定</w:t>
            </w:r>
            <w:r w:rsidR="007D2AC2">
              <w:rPr>
                <w:rFonts w:ascii="標楷體" w:eastAsia="標楷體" w:hAnsi="標楷體" w:hint="eastAsia"/>
                <w:szCs w:val="24"/>
              </w:rPr>
              <w:t>委託人未為資料變更通知時，</w:t>
            </w:r>
            <w:r w:rsidR="00837DBD" w:rsidRPr="00F71D98">
              <w:rPr>
                <w:rFonts w:ascii="標楷體" w:eastAsia="標楷體" w:hAnsi="標楷體" w:hint="eastAsia"/>
                <w:szCs w:val="24"/>
              </w:rPr>
              <w:t>證券商</w:t>
            </w:r>
            <w:r w:rsidR="007D2AC2">
              <w:rPr>
                <w:rFonts w:ascii="標楷體" w:eastAsia="標楷體" w:hAnsi="標楷體" w:hint="eastAsia"/>
                <w:szCs w:val="24"/>
              </w:rPr>
              <w:t>採</w:t>
            </w:r>
            <w:r w:rsidR="00837DBD" w:rsidRPr="00F71D98">
              <w:rPr>
                <w:rFonts w:ascii="標楷體" w:eastAsia="標楷體" w:hAnsi="標楷體" w:hint="eastAsia"/>
                <w:szCs w:val="24"/>
              </w:rPr>
              <w:t>電子化方式之</w:t>
            </w:r>
            <w:r w:rsidR="00837DBD" w:rsidRPr="009738D3">
              <w:rPr>
                <w:rFonts w:ascii="標楷體" w:eastAsia="標楷體" w:hAnsi="標楷體" w:hint="eastAsia"/>
                <w:szCs w:val="24"/>
              </w:rPr>
              <w:t>通知</w:t>
            </w:r>
            <w:r w:rsidR="00837DBD" w:rsidRPr="00F71D98">
              <w:rPr>
                <w:rFonts w:ascii="標楷體" w:eastAsia="標楷體" w:hAnsi="標楷體" w:hint="eastAsia"/>
                <w:szCs w:val="24"/>
              </w:rPr>
              <w:t>效力發生時點，爰修正第四項規定。</w:t>
            </w:r>
          </w:p>
        </w:tc>
      </w:tr>
      <w:tr w:rsidR="00020800" w14:paraId="40A03A4C"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C92EE" w14:textId="77777777" w:rsidR="00020800" w:rsidRDefault="00DC08BB">
            <w:pPr>
              <w:spacing w:line="360" w:lineRule="exact"/>
              <w:ind w:left="240" w:hanging="240"/>
              <w:jc w:val="both"/>
              <w:rPr>
                <w:rFonts w:ascii="標楷體" w:eastAsia="標楷體" w:hAnsi="標楷體"/>
                <w:bCs/>
                <w:szCs w:val="24"/>
              </w:rPr>
            </w:pPr>
            <w:r>
              <w:rPr>
                <w:rFonts w:ascii="標楷體" w:eastAsia="標楷體" w:hAnsi="標楷體"/>
                <w:bCs/>
                <w:szCs w:val="24"/>
              </w:rPr>
              <w:lastRenderedPageBreak/>
              <w:t>第五十三條</w:t>
            </w:r>
          </w:p>
          <w:p w14:paraId="21EDA8D4"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證券商應逐日依下列公式計算每一信用帳戶之整戶及各筆融資融券擔保維持率：</w:t>
            </w:r>
          </w:p>
          <w:p w14:paraId="357283F0" w14:textId="77777777" w:rsidR="00020800" w:rsidRDefault="00DC08BB">
            <w:pPr>
              <w:spacing w:line="360" w:lineRule="exact"/>
              <w:jc w:val="both"/>
              <w:rPr>
                <w:rFonts w:ascii="標楷體" w:eastAsia="標楷體" w:hAnsi="標楷體"/>
                <w:bCs/>
                <w:szCs w:val="24"/>
              </w:rPr>
            </w:pPr>
            <w:r>
              <w:rPr>
                <w:rFonts w:ascii="標楷體" w:eastAsia="標楷體" w:hAnsi="標楷體"/>
                <w:bCs/>
                <w:szCs w:val="24"/>
              </w:rPr>
              <w:t>擔保維持率＝(融資擔保品證券市值＋融券擔保品及保證金＋抵繳有價證券或其他商品市值)÷(融資金額＋融券標的證券市值)×100％</w:t>
            </w:r>
          </w:p>
          <w:p w14:paraId="053C6D80"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項證券及抵繳商品市值應依下列各款規定計算，但於上市(櫃)有價證券除權息交易日之前六個營業日，除現金增資者外，其融資擔保品證券市值及上市(櫃)有價證券抵繳市值，則以各當日收盤價扣除息值或扣除以該當日收盤價為基礎計算之權值計之：</w:t>
            </w:r>
          </w:p>
          <w:p w14:paraId="7A417CC5"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lastRenderedPageBreak/>
              <w:t>一、上市(櫃)中央登錄公債、地方政府債券、公司債、金融債：面額。</w:t>
            </w:r>
          </w:p>
          <w:p w14:paraId="3D5C9764"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二、上市(櫃)有價證券：證券交易所或櫃檯買賣中心公布之收盤價。</w:t>
            </w:r>
          </w:p>
          <w:p w14:paraId="24289AB1" w14:textId="77777777" w:rsidR="00020800" w:rsidRDefault="00DC08BB">
            <w:pPr>
              <w:spacing w:line="360" w:lineRule="exact"/>
              <w:ind w:left="480" w:hanging="480"/>
              <w:jc w:val="both"/>
              <w:rPr>
                <w:rFonts w:ascii="標楷體" w:eastAsia="標楷體" w:hAnsi="標楷體"/>
                <w:bCs/>
                <w:color w:val="FF0000"/>
                <w:szCs w:val="24"/>
                <w:u w:val="single"/>
              </w:rPr>
            </w:pPr>
            <w:r>
              <w:rPr>
                <w:rFonts w:ascii="標楷體" w:eastAsia="標楷體" w:hAnsi="標楷體"/>
                <w:bCs/>
                <w:color w:val="FF0000"/>
                <w:szCs w:val="24"/>
                <w:u w:val="single"/>
              </w:rPr>
              <w:t>三、興櫃股票：櫃檯買賣中心公布之交易時間終了時加權平均成交價(以下簡稱加權平均成交價)。</w:t>
            </w:r>
          </w:p>
          <w:p w14:paraId="44C33717" w14:textId="77777777" w:rsidR="00020800" w:rsidRDefault="00DC08BB">
            <w:pPr>
              <w:spacing w:line="360" w:lineRule="exact"/>
              <w:ind w:left="480" w:hanging="480"/>
              <w:jc w:val="both"/>
            </w:pPr>
            <w:r>
              <w:rPr>
                <w:rFonts w:ascii="標楷體" w:eastAsia="標楷體" w:hAnsi="標楷體"/>
                <w:bCs/>
                <w:color w:val="FF0000"/>
                <w:szCs w:val="24"/>
                <w:u w:val="single"/>
              </w:rPr>
              <w:t>四</w:t>
            </w:r>
            <w:r>
              <w:rPr>
                <w:rFonts w:ascii="標楷體" w:eastAsia="標楷體" w:hAnsi="標楷體"/>
                <w:bCs/>
                <w:szCs w:val="24"/>
              </w:rPr>
              <w:t>、登錄為櫃檯買賣之黃金現貨：收市當時造市商間最高買進報價及最低賣出報價之均價(以下簡稱收市均價)。</w:t>
            </w:r>
          </w:p>
          <w:p w14:paraId="10254F71" w14:textId="77777777" w:rsidR="00020800" w:rsidRDefault="00DC08BB">
            <w:pPr>
              <w:spacing w:line="360" w:lineRule="exact"/>
              <w:ind w:left="480" w:hanging="480"/>
              <w:jc w:val="both"/>
            </w:pPr>
            <w:r>
              <w:rPr>
                <w:rFonts w:ascii="標楷體" w:eastAsia="標楷體" w:hAnsi="標楷體"/>
                <w:bCs/>
                <w:color w:val="FF0000"/>
                <w:szCs w:val="24"/>
                <w:u w:val="single"/>
              </w:rPr>
              <w:t>五</w:t>
            </w:r>
            <w:r>
              <w:rPr>
                <w:rFonts w:ascii="標楷體" w:eastAsia="標楷體" w:hAnsi="標楷體"/>
                <w:bCs/>
                <w:szCs w:val="24"/>
              </w:rPr>
              <w:t>、開放式證券投資信託基金受益憑證及期貨信託基金受益憑證：前一營業日每受益權單位淨資產價值。</w:t>
            </w:r>
          </w:p>
          <w:p w14:paraId="02654C9D" w14:textId="77777777" w:rsidR="004E7B69" w:rsidRDefault="00DC08BB" w:rsidP="004E5CB6">
            <w:pPr>
              <w:spacing w:line="360" w:lineRule="exact"/>
              <w:ind w:firstLine="480"/>
              <w:jc w:val="both"/>
              <w:rPr>
                <w:rFonts w:ascii="標楷體" w:eastAsia="標楷體" w:hAnsi="標楷體"/>
                <w:bCs/>
                <w:szCs w:val="24"/>
              </w:rPr>
            </w:pPr>
            <w:r>
              <w:rPr>
                <w:rFonts w:ascii="標楷體" w:eastAsia="標楷體" w:hAnsi="標楷體"/>
                <w:bCs/>
                <w:szCs w:val="24"/>
              </w:rPr>
              <w:t>委託人融資買進之證券，其無償配股股票股利率達百分之二十以上，或該證券之發行公司辦理分割減資事宜，且減資後股票恢復交易與分割受讓公司之股票上市(櫃)為同日者，除有經主管機關限制買賣者外，該權值新股或分割受讓公司之股票應全部作為擔保，且放棄緩課所得稅之權利，由證券集中保管事業以帳簿劃撥方式轉撥至各證券商融資融券專戶。</w:t>
            </w:r>
          </w:p>
          <w:p w14:paraId="0338DD1C" w14:textId="77777777" w:rsidR="004E7B69" w:rsidRDefault="004E7B69">
            <w:pPr>
              <w:spacing w:line="360" w:lineRule="exact"/>
              <w:ind w:firstLine="480"/>
              <w:jc w:val="both"/>
              <w:rPr>
                <w:rFonts w:ascii="標楷體" w:eastAsia="標楷體" w:hAnsi="標楷體"/>
                <w:bCs/>
                <w:szCs w:val="24"/>
              </w:rPr>
            </w:pPr>
          </w:p>
          <w:p w14:paraId="378725E2" w14:textId="77777777" w:rsidR="00A3085A" w:rsidRPr="004E7B69" w:rsidRDefault="00A3085A">
            <w:pPr>
              <w:spacing w:line="360" w:lineRule="exact"/>
              <w:ind w:firstLine="480"/>
              <w:jc w:val="both"/>
              <w:rPr>
                <w:rFonts w:ascii="標楷體" w:eastAsia="標楷體" w:hAnsi="標楷體"/>
                <w:bCs/>
                <w:szCs w:val="24"/>
              </w:rPr>
            </w:pPr>
          </w:p>
          <w:p w14:paraId="56C52E1B"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前項權值新股或分割受</w:t>
            </w:r>
            <w:r>
              <w:rPr>
                <w:rFonts w:ascii="標楷體" w:eastAsia="標楷體" w:hAnsi="標楷體"/>
                <w:bCs/>
                <w:szCs w:val="24"/>
              </w:rPr>
              <w:lastRenderedPageBreak/>
              <w:t>讓公司之股票不得充當證券商辦理有價證券買賣融券之券源或作為轉融通之擔保。</w:t>
            </w:r>
          </w:p>
          <w:p w14:paraId="6586A04B"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以權值新股或分割受讓公司之股票作為擔保者，不適用第二項之規定。除權交易後，權值新股市值之計算，上市(櫃)得為融資融券有價證券按收盤價七折計算；有未依有價證券得為融資融券標準第二條、第三條規定取得融資融券交易資格者或經同標準第四條、第五條規定暫停融資融券交易資格者，按收盤價五折計算，於撥入證券商融資融券專戶後，免折價計算。</w:t>
            </w:r>
          </w:p>
          <w:p w14:paraId="78C038F5"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融資買進之指數股票型基金受益憑證、主動式交易所交易基金受益憑證及指數股票型期貨信託基金受益憑證分割之新受益權單位數，應撥入證券商融資融券專戶作為融資餘額。委託人依第五十七條抵繳之指數股票型基金受益憑證、主動式交易所交易基金受益憑證及指數股票型期貨信託基金受益憑證分割之新受益權單位數，應撥入證券商融資融券專戶作為抵繳有價證券。</w:t>
            </w:r>
          </w:p>
          <w:p w14:paraId="0155F56F"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第一項融資擔保品證券市值、融券擔保品及保證金、抵繳有價證券或其他商品市值，為委託人信用帳戶內之款項、有價證券及其他商品市值扣除融券費、標借費、議借費、標購費之餘</w:t>
            </w:r>
            <w:r>
              <w:rPr>
                <w:rFonts w:ascii="標楷體" w:eastAsia="標楷體" w:hAnsi="標楷體"/>
                <w:bCs/>
                <w:szCs w:val="24"/>
              </w:rPr>
              <w:lastRenderedPageBreak/>
              <w:t>額；經償還交易或經證券商處分擔保品後尚有殘存債務者，並予扣除。</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5627D" w14:textId="77777777" w:rsidR="00020800" w:rsidRDefault="00DC08BB">
            <w:pPr>
              <w:spacing w:line="360" w:lineRule="exact"/>
              <w:ind w:left="240" w:hanging="240"/>
              <w:jc w:val="both"/>
              <w:rPr>
                <w:rFonts w:ascii="標楷體" w:eastAsia="標楷體" w:hAnsi="標楷體"/>
                <w:bCs/>
                <w:szCs w:val="24"/>
              </w:rPr>
            </w:pPr>
            <w:r>
              <w:rPr>
                <w:rFonts w:ascii="標楷體" w:eastAsia="標楷體" w:hAnsi="標楷體"/>
                <w:bCs/>
                <w:szCs w:val="24"/>
              </w:rPr>
              <w:lastRenderedPageBreak/>
              <w:t>第五十三條</w:t>
            </w:r>
          </w:p>
          <w:p w14:paraId="1E9033F9"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證券商應逐日依下列公式計算每一信用帳戶之整戶及各筆融資融券擔保維持率：</w:t>
            </w:r>
          </w:p>
          <w:p w14:paraId="1D269F3E" w14:textId="77777777" w:rsidR="00020800" w:rsidRDefault="00DC08BB">
            <w:pPr>
              <w:spacing w:line="360" w:lineRule="exact"/>
              <w:jc w:val="both"/>
              <w:rPr>
                <w:rFonts w:ascii="標楷體" w:eastAsia="標楷體" w:hAnsi="標楷體"/>
                <w:bCs/>
                <w:szCs w:val="24"/>
              </w:rPr>
            </w:pPr>
            <w:r>
              <w:rPr>
                <w:rFonts w:ascii="標楷體" w:eastAsia="標楷體" w:hAnsi="標楷體"/>
                <w:bCs/>
                <w:szCs w:val="24"/>
              </w:rPr>
              <w:t>擔保維持率＝(融資擔保品證券市值＋融券擔保品及保證金＋抵繳有價證券或其他商品市值)÷(融資金額＋融券標的證券市值)×100％</w:t>
            </w:r>
          </w:p>
          <w:p w14:paraId="6DB7C172"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項證券及抵繳商品市值應依下列各款規定計算，但於上市(櫃)有價證券除權息交易日之前六個營業日，除現金增資者外，其融資擔保品證券市值及上市(櫃)有價證券抵繳市值，則以各當日收盤價扣除息值或扣除以該當日收盤價為基礎計算之權值計之：</w:t>
            </w:r>
          </w:p>
          <w:p w14:paraId="3D852DE5"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lastRenderedPageBreak/>
              <w:t>一、上市(櫃)中央登錄公債、地方政府債券、公司債、金融債：面額。</w:t>
            </w:r>
          </w:p>
          <w:p w14:paraId="393E9138"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二、上市(櫃)有價證券：證券交易所或櫃檯買賣中心公布之收盤價。</w:t>
            </w:r>
          </w:p>
          <w:p w14:paraId="3055E1D1" w14:textId="77777777" w:rsidR="00020800" w:rsidRDefault="00020800">
            <w:pPr>
              <w:spacing w:line="360" w:lineRule="exact"/>
              <w:ind w:left="480" w:hanging="480"/>
              <w:jc w:val="both"/>
              <w:rPr>
                <w:rFonts w:ascii="標楷體" w:eastAsia="標楷體" w:hAnsi="標楷體"/>
                <w:bCs/>
                <w:color w:val="FF0000"/>
                <w:szCs w:val="24"/>
                <w:u w:val="single"/>
              </w:rPr>
            </w:pPr>
          </w:p>
          <w:p w14:paraId="69C4EBE9" w14:textId="77777777" w:rsidR="00020800" w:rsidRDefault="00020800">
            <w:pPr>
              <w:spacing w:line="360" w:lineRule="exact"/>
              <w:ind w:left="480" w:hanging="480"/>
              <w:jc w:val="both"/>
              <w:rPr>
                <w:rFonts w:ascii="標楷體" w:eastAsia="標楷體" w:hAnsi="標楷體"/>
                <w:bCs/>
                <w:color w:val="FF0000"/>
                <w:szCs w:val="24"/>
                <w:u w:val="single"/>
              </w:rPr>
            </w:pPr>
          </w:p>
          <w:p w14:paraId="429B3372" w14:textId="77777777" w:rsidR="00020800" w:rsidRDefault="00020800">
            <w:pPr>
              <w:spacing w:line="360" w:lineRule="exact"/>
              <w:ind w:left="480" w:hanging="480"/>
              <w:jc w:val="both"/>
              <w:rPr>
                <w:rFonts w:ascii="標楷體" w:eastAsia="標楷體" w:hAnsi="標楷體"/>
                <w:bCs/>
                <w:color w:val="FF0000"/>
                <w:szCs w:val="24"/>
                <w:u w:val="single"/>
              </w:rPr>
            </w:pPr>
          </w:p>
          <w:p w14:paraId="5711622C" w14:textId="77777777" w:rsidR="00020800" w:rsidRDefault="00020800">
            <w:pPr>
              <w:spacing w:line="360" w:lineRule="exact"/>
              <w:ind w:left="480" w:hanging="480"/>
              <w:jc w:val="both"/>
              <w:rPr>
                <w:rFonts w:ascii="標楷體" w:eastAsia="標楷體" w:hAnsi="標楷體"/>
                <w:bCs/>
                <w:color w:val="FF0000"/>
                <w:szCs w:val="24"/>
                <w:u w:val="single"/>
              </w:rPr>
            </w:pPr>
          </w:p>
          <w:p w14:paraId="50F00FF2" w14:textId="77777777" w:rsidR="00A3085A" w:rsidRDefault="00A3085A">
            <w:pPr>
              <w:spacing w:line="360" w:lineRule="exact"/>
              <w:ind w:left="480" w:hanging="480"/>
              <w:jc w:val="both"/>
              <w:rPr>
                <w:rFonts w:ascii="標楷體" w:eastAsia="標楷體" w:hAnsi="標楷體"/>
                <w:bCs/>
                <w:color w:val="FF0000"/>
                <w:szCs w:val="24"/>
                <w:u w:val="single"/>
              </w:rPr>
            </w:pPr>
          </w:p>
          <w:p w14:paraId="24A08837" w14:textId="77777777" w:rsidR="00020800" w:rsidRDefault="00DC08BB">
            <w:pPr>
              <w:spacing w:line="360" w:lineRule="exact"/>
              <w:ind w:left="480" w:hanging="480"/>
              <w:jc w:val="both"/>
            </w:pPr>
            <w:r w:rsidRPr="00066DCD">
              <w:rPr>
                <w:rFonts w:ascii="標楷體" w:eastAsia="標楷體" w:hAnsi="標楷體"/>
                <w:bCs/>
                <w:szCs w:val="24"/>
              </w:rPr>
              <w:t>三</w:t>
            </w:r>
            <w:r>
              <w:rPr>
                <w:rFonts w:ascii="標楷體" w:eastAsia="標楷體" w:hAnsi="標楷體"/>
                <w:bCs/>
                <w:szCs w:val="24"/>
              </w:rPr>
              <w:t>、登錄為櫃檯買賣之黃金現貨：收市當時造市商間最高買進報價及最低賣出報價之均價(以下簡稱收市均價)。</w:t>
            </w:r>
          </w:p>
          <w:p w14:paraId="3D965C87" w14:textId="77777777" w:rsidR="00020800" w:rsidRDefault="00DC08BB">
            <w:pPr>
              <w:spacing w:line="360" w:lineRule="exact"/>
              <w:ind w:left="480" w:hanging="480"/>
              <w:jc w:val="both"/>
            </w:pPr>
            <w:r w:rsidRPr="00066DCD">
              <w:rPr>
                <w:rFonts w:ascii="標楷體" w:eastAsia="標楷體" w:hAnsi="標楷體"/>
                <w:bCs/>
                <w:szCs w:val="24"/>
              </w:rPr>
              <w:t>四</w:t>
            </w:r>
            <w:r>
              <w:rPr>
                <w:rFonts w:ascii="標楷體" w:eastAsia="標楷體" w:hAnsi="標楷體"/>
                <w:bCs/>
                <w:szCs w:val="24"/>
              </w:rPr>
              <w:t>、開放式證券投資信託基金受益憑證及期貨信託基金受益憑證：前一營業日每受益權單位淨資產價值。</w:t>
            </w:r>
          </w:p>
          <w:p w14:paraId="4C6889DF"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融資買進之證券，其無償配股股票股利率達百分之二十以上，或該證券之發行公司辦理分割減資事宜，且減資後股票恢復交易與分割受讓公司之股票上市(櫃)為同日者，除有經主管機關限制買賣者外，該權值新股或分割受讓公司之股票應全部作為擔保，且放棄緩課所得稅之權利，由證券集中保管事業以帳簿劃撥方式轉撥至各證券商融資融券專戶</w:t>
            </w:r>
            <w:r w:rsidRPr="00C00554">
              <w:rPr>
                <w:rFonts w:ascii="標楷體" w:eastAsia="標楷體" w:hAnsi="標楷體"/>
                <w:bCs/>
                <w:color w:val="FF0000"/>
                <w:szCs w:val="24"/>
                <w:u w:val="single"/>
              </w:rPr>
              <w:t>，不適用公開發行股票公司股務處理準則第三十三條規定</w:t>
            </w:r>
            <w:r>
              <w:rPr>
                <w:rFonts w:ascii="標楷體" w:eastAsia="標楷體" w:hAnsi="標楷體"/>
                <w:bCs/>
                <w:szCs w:val="24"/>
              </w:rPr>
              <w:t>。</w:t>
            </w:r>
          </w:p>
          <w:p w14:paraId="617E2041"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前項權值新股或分割受</w:t>
            </w:r>
            <w:r>
              <w:rPr>
                <w:rFonts w:ascii="標楷體" w:eastAsia="標楷體" w:hAnsi="標楷體"/>
                <w:bCs/>
                <w:szCs w:val="24"/>
              </w:rPr>
              <w:lastRenderedPageBreak/>
              <w:t>讓公司之股票不得充當證券商辦理有價證券買賣融券之券源或作為轉融通之擔保。</w:t>
            </w:r>
          </w:p>
          <w:p w14:paraId="3EA83B33"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以權值新股或分割受讓公司之股票作為擔保者，不適用第二項之規定。除權交易後，權值新股市值之計算，上市(櫃)得為融資融券有價證券按收盤價七折計算；有未依有價證券得為融資融券標準第二條、第三條規定取得融資融券交易資格者或經同標準第四條、第五條規定暫停融資融券交易資格者，按收盤價五折計算，於撥入證券商融資融券專戶後，免折價計算。</w:t>
            </w:r>
          </w:p>
          <w:p w14:paraId="56F3E858"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融資買進之指數股票型基金受益憑證、主動式交易所交易基金受益憑證及指數股票型期貨信託基金受益憑證分割之新受益權單位數，應撥入證券商融資融券專戶作為融資餘額。委託人依第五十七條抵繳之指數股票型基金受益憑證、主動式交易所交易基金受益憑證及指數股票型期貨信託基金受益憑證分割之新受益權單位數，應撥入證券商融資融券專戶作為抵繳有價證券。</w:t>
            </w:r>
          </w:p>
          <w:p w14:paraId="6625697C"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第一項融資擔保品證券市值、融券擔保品及保證金、抵繳有價證券或其他商品市值，為委託人信用帳戶內之款項、有價證券及其他商品市值扣除融券費、標借費、議借費、標購費之餘</w:t>
            </w:r>
            <w:r>
              <w:rPr>
                <w:rFonts w:ascii="標楷體" w:eastAsia="標楷體" w:hAnsi="標楷體"/>
                <w:bCs/>
                <w:szCs w:val="24"/>
              </w:rPr>
              <w:lastRenderedPageBreak/>
              <w:t>額；經償還交易或經證券商處分擔保品後尚有殘存債務者，並予扣除。</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C9B01" w14:textId="77777777" w:rsidR="00020800" w:rsidRPr="00E839FB" w:rsidRDefault="00DC08BB">
            <w:pPr>
              <w:spacing w:line="360" w:lineRule="exact"/>
              <w:ind w:left="480" w:hanging="480"/>
              <w:jc w:val="both"/>
            </w:pPr>
            <w:r>
              <w:rPr>
                <w:rFonts w:ascii="Times New Roman" w:eastAsia="標楷體" w:hAnsi="Times New Roman"/>
              </w:rPr>
              <w:lastRenderedPageBreak/>
              <w:t>一、為增加投資人資金調度彈性與風險因應能力，強化市場之穩定發展，將</w:t>
            </w:r>
            <w:r>
              <w:rPr>
                <w:rFonts w:ascii="標楷體" w:eastAsia="標楷體" w:hAnsi="標楷體"/>
                <w:szCs w:val="24"/>
              </w:rPr>
              <w:t>興櫃股票納入抵繳擔保品範圍，</w:t>
            </w:r>
            <w:r w:rsidR="00FC1E99" w:rsidRPr="00FC1E99">
              <w:rPr>
                <w:rFonts w:ascii="標楷體" w:eastAsia="標楷體" w:hAnsi="標楷體" w:hint="eastAsia"/>
                <w:szCs w:val="24"/>
              </w:rPr>
              <w:t>爰</w:t>
            </w:r>
            <w:r>
              <w:rPr>
                <w:rFonts w:ascii="標楷體" w:eastAsia="標楷體" w:hAnsi="標楷體"/>
                <w:szCs w:val="24"/>
              </w:rPr>
              <w:t>新增第二項第三款，明定其價值計算規定，</w:t>
            </w:r>
            <w:r w:rsidR="003E4D0C">
              <w:rPr>
                <w:rFonts w:ascii="標楷體" w:eastAsia="標楷體" w:hAnsi="標楷體" w:hint="eastAsia"/>
                <w:szCs w:val="24"/>
              </w:rPr>
              <w:t>併同</w:t>
            </w:r>
            <w:r w:rsidRPr="00DD5C88">
              <w:rPr>
                <w:rFonts w:ascii="標楷體" w:eastAsia="標楷體" w:hAnsi="標楷體"/>
                <w:szCs w:val="24"/>
              </w:rPr>
              <w:t>作款次調整。</w:t>
            </w:r>
          </w:p>
          <w:p w14:paraId="49E350DA" w14:textId="77777777" w:rsidR="00020800" w:rsidRDefault="00DC08BB">
            <w:pPr>
              <w:spacing w:line="360" w:lineRule="exact"/>
              <w:ind w:left="480" w:hanging="480"/>
              <w:jc w:val="both"/>
              <w:rPr>
                <w:rFonts w:ascii="標楷體" w:eastAsia="標楷體" w:hAnsi="標楷體"/>
                <w:szCs w:val="24"/>
              </w:rPr>
            </w:pPr>
            <w:r w:rsidRPr="00E839FB">
              <w:rPr>
                <w:rFonts w:ascii="標楷體" w:eastAsia="標楷體" w:hAnsi="標楷體"/>
                <w:szCs w:val="24"/>
              </w:rPr>
              <w:t>二、考量興櫃為報</w:t>
            </w:r>
            <w:r>
              <w:rPr>
                <w:rFonts w:ascii="標楷體" w:eastAsia="標楷體" w:hAnsi="標楷體"/>
                <w:szCs w:val="24"/>
              </w:rPr>
              <w:t>價驅動之議價交易市場，興櫃股票除權息時係由推薦證券商綜合考量各項因素後進行報價，並未計算及揭示除權息參考價，</w:t>
            </w:r>
            <w:r w:rsidRPr="0033163B">
              <w:rPr>
                <w:rFonts w:ascii="標楷體" w:eastAsia="標楷體" w:hAnsi="標楷體"/>
                <w:szCs w:val="24"/>
              </w:rPr>
              <w:t>故第二項但書規定抵繳證券應進行假除權作業者，僅限於上市(櫃)有價證券，不含興櫃股票</w:t>
            </w:r>
            <w:r>
              <w:rPr>
                <w:rFonts w:ascii="標楷體" w:eastAsia="標楷體" w:hAnsi="標楷體"/>
                <w:szCs w:val="24"/>
              </w:rPr>
              <w:t>。</w:t>
            </w:r>
          </w:p>
          <w:p w14:paraId="30A18CB8" w14:textId="77777777" w:rsidR="009D0344" w:rsidRDefault="009D0344">
            <w:pPr>
              <w:spacing w:line="360" w:lineRule="exact"/>
              <w:ind w:left="480" w:hanging="480"/>
              <w:jc w:val="both"/>
            </w:pPr>
            <w:r w:rsidRPr="009D0344">
              <w:rPr>
                <w:rFonts w:ascii="標楷體" w:eastAsia="標楷體" w:hAnsi="標楷體" w:hint="eastAsia"/>
                <w:szCs w:val="24"/>
              </w:rPr>
              <w:t>三、配合現行有價證券已採</w:t>
            </w:r>
            <w:r w:rsidRPr="009D0344">
              <w:rPr>
                <w:rFonts w:ascii="標楷體" w:eastAsia="標楷體" w:hAnsi="標楷體" w:hint="eastAsia"/>
                <w:szCs w:val="24"/>
              </w:rPr>
              <w:lastRenderedPageBreak/>
              <w:t>無實體發行，並以帳簿劃撥方式配發無實體證券，「公</w:t>
            </w:r>
            <w:r w:rsidR="00E82857" w:rsidRPr="00E82857">
              <w:rPr>
                <w:rFonts w:ascii="標楷體" w:eastAsia="標楷體" w:hAnsi="標楷體" w:hint="eastAsia"/>
                <w:szCs w:val="24"/>
              </w:rPr>
              <w:t>開</w:t>
            </w:r>
            <w:r w:rsidRPr="009D0344">
              <w:rPr>
                <w:rFonts w:ascii="標楷體" w:eastAsia="標楷體" w:hAnsi="標楷體" w:hint="eastAsia"/>
                <w:szCs w:val="24"/>
              </w:rPr>
              <w:t>發行股票公司股務處理準則」第三十三條已刪除，</w:t>
            </w:r>
            <w:r w:rsidR="00D0184B" w:rsidRPr="00D0184B">
              <w:rPr>
                <w:rFonts w:ascii="標楷體" w:eastAsia="標楷體" w:hAnsi="標楷體" w:hint="eastAsia"/>
                <w:szCs w:val="24"/>
              </w:rPr>
              <w:t>爰修正第三項。</w:t>
            </w:r>
          </w:p>
        </w:tc>
      </w:tr>
      <w:tr w:rsidR="00020800" w14:paraId="4027CB1F"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94C13" w14:textId="77777777" w:rsidR="00020800" w:rsidRDefault="00DC08BB">
            <w:pPr>
              <w:spacing w:line="360" w:lineRule="exact"/>
              <w:ind w:left="240" w:hanging="240"/>
              <w:jc w:val="both"/>
              <w:rPr>
                <w:rFonts w:ascii="標楷體" w:eastAsia="標楷體" w:hAnsi="標楷體"/>
                <w:bCs/>
                <w:szCs w:val="24"/>
              </w:rPr>
            </w:pPr>
            <w:r>
              <w:rPr>
                <w:rFonts w:ascii="標楷體" w:eastAsia="標楷體" w:hAnsi="標楷體"/>
                <w:bCs/>
                <w:szCs w:val="24"/>
              </w:rPr>
              <w:lastRenderedPageBreak/>
              <w:t>第五十四條</w:t>
            </w:r>
          </w:p>
          <w:p w14:paraId="5A186645"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委託人信用帳戶之整戶擔保維持率低於百分之一百三十者，證券商應即通知委託人就各該筆不足擔保維持率之融資融券，於通知送達之日起二個營業日內補繳融資自備款或融券保證金差額。</w:t>
            </w:r>
          </w:p>
          <w:p w14:paraId="75183816"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委託人依前項規定應行補繳之差額，依下列公式計算：</w:t>
            </w:r>
          </w:p>
          <w:p w14:paraId="3D2C87B9" w14:textId="77777777" w:rsidR="00020800" w:rsidRDefault="00DC08BB">
            <w:pPr>
              <w:spacing w:line="360" w:lineRule="exact"/>
              <w:jc w:val="both"/>
            </w:pPr>
            <w:r>
              <w:rPr>
                <w:rFonts w:ascii="標楷體" w:eastAsia="標楷體" w:hAnsi="標楷體"/>
                <w:bCs/>
                <w:szCs w:val="24"/>
              </w:rPr>
              <w:t>融資自備款差額＝融資金額–(計算日收盤價×融資股數×融資比率)–(計算日面額、收盤價、</w:t>
            </w:r>
            <w:r>
              <w:rPr>
                <w:rFonts w:ascii="標楷體" w:eastAsia="標楷體" w:hAnsi="標楷體"/>
                <w:bCs/>
                <w:color w:val="ED0000"/>
                <w:szCs w:val="24"/>
                <w:u w:val="single"/>
              </w:rPr>
              <w:t>加權平均成交價、</w:t>
            </w:r>
            <w:r>
              <w:rPr>
                <w:rFonts w:ascii="標楷體" w:eastAsia="標楷體" w:hAnsi="標楷體"/>
                <w:bCs/>
                <w:szCs w:val="24"/>
              </w:rPr>
              <w:t>收市均價或前一營業日每受益權單位淨資產價值×前條第三項所列股票與第五十七條抵繳有價證券或其他商品之單位數×融資比率)</w:t>
            </w:r>
          </w:p>
          <w:p w14:paraId="705F950D" w14:textId="77777777" w:rsidR="00020800" w:rsidRDefault="00DC08BB">
            <w:pPr>
              <w:spacing w:line="360" w:lineRule="exact"/>
              <w:jc w:val="both"/>
            </w:pPr>
            <w:r>
              <w:rPr>
                <w:rFonts w:ascii="標楷體" w:eastAsia="標楷體" w:hAnsi="標楷體"/>
                <w:bCs/>
                <w:szCs w:val="24"/>
              </w:rPr>
              <w:t>融券保證金差額＝(計算日收盤價×融券股數×融券保證金成數–融券保證金)＋(計算日收盤價×融券股數–原融券賣出價款)–(計算日面額、收盤價、</w:t>
            </w:r>
            <w:r>
              <w:rPr>
                <w:rFonts w:ascii="標楷體" w:eastAsia="標楷體" w:hAnsi="標楷體"/>
                <w:bCs/>
                <w:color w:val="FF0000"/>
                <w:szCs w:val="24"/>
                <w:u w:val="single"/>
              </w:rPr>
              <w:t>加權平均成交價、</w:t>
            </w:r>
            <w:r>
              <w:rPr>
                <w:rFonts w:ascii="標楷體" w:eastAsia="標楷體" w:hAnsi="標楷體"/>
                <w:bCs/>
                <w:szCs w:val="24"/>
              </w:rPr>
              <w:t>收市均價或前一營業日每受益權單位淨資產價值×第五十七條抵繳有價證券或其他商品之單位數)</w:t>
            </w:r>
          </w:p>
          <w:p w14:paraId="1DE6138E" w14:textId="77777777" w:rsidR="00020800" w:rsidRDefault="00DC08BB">
            <w:pPr>
              <w:spacing w:line="360" w:lineRule="exact"/>
              <w:ind w:firstLine="480"/>
              <w:jc w:val="both"/>
            </w:pPr>
            <w:r>
              <w:rPr>
                <w:rFonts w:ascii="標楷體" w:eastAsia="標楷體" w:hAnsi="標楷體"/>
                <w:bCs/>
                <w:szCs w:val="24"/>
              </w:rPr>
              <w:t>前項融資自備款差額計算公式所揭前條第三項所列股票與第五十七條抵繳有價證券或其他商品，屬中央登</w:t>
            </w:r>
            <w:r>
              <w:rPr>
                <w:rFonts w:ascii="標楷體" w:eastAsia="標楷體" w:hAnsi="標楷體"/>
                <w:bCs/>
                <w:szCs w:val="24"/>
              </w:rPr>
              <w:lastRenderedPageBreak/>
              <w:t>錄公債、地方政府債券、公司債、金融債、登錄為櫃檯買賣之黃金現貨、開放式證券投資信託基金受益憑證或期貨信託基金受益憑證，其融資比率依主管機關公布之上市(櫃)最高融資比率計算；其餘有未依有價證券得為融資融券標準第二條、第三條規定取得融資融券交易資格者或經同標準第四條、第五條規定暫停融資融券交易資格者</w:t>
            </w:r>
            <w:r>
              <w:rPr>
                <w:rFonts w:ascii="標楷體" w:eastAsia="標楷體" w:hAnsi="標楷體"/>
                <w:bCs/>
                <w:color w:val="FF0000"/>
                <w:szCs w:val="24"/>
                <w:u w:val="single"/>
              </w:rPr>
              <w:t>及興櫃股票</w:t>
            </w:r>
            <w:r>
              <w:rPr>
                <w:rFonts w:ascii="標楷體" w:eastAsia="標楷體" w:hAnsi="標楷體"/>
                <w:bCs/>
                <w:szCs w:val="24"/>
              </w:rPr>
              <w:t>，其融資比率為零。</w:t>
            </w:r>
          </w:p>
          <w:p w14:paraId="1E88DD91" w14:textId="77777777" w:rsidR="00020800" w:rsidRDefault="00DC08BB">
            <w:pPr>
              <w:spacing w:line="360" w:lineRule="exact"/>
              <w:ind w:firstLine="480"/>
              <w:jc w:val="both"/>
            </w:pPr>
            <w:r>
              <w:rPr>
                <w:rFonts w:ascii="標楷體" w:eastAsia="標楷體" w:hAnsi="標楷體"/>
                <w:bCs/>
                <w:szCs w:val="24"/>
              </w:rPr>
              <w:t>有價證券如停止買賣或暫停交易，前條第一項擔保維持率及第二項應行補繳之差額計算，以停止買賣或暫停交易之前一營業日收盤價</w:t>
            </w:r>
            <w:r>
              <w:rPr>
                <w:rFonts w:ascii="標楷體" w:eastAsia="標楷體" w:hAnsi="標楷體"/>
                <w:bCs/>
                <w:color w:val="FF0000"/>
                <w:szCs w:val="24"/>
                <w:u w:val="single"/>
              </w:rPr>
              <w:t>或加權平均成交價</w:t>
            </w:r>
            <w:r>
              <w:rPr>
                <w:rFonts w:ascii="標楷體" w:eastAsia="標楷體" w:hAnsi="標楷體"/>
                <w:bCs/>
                <w:szCs w:val="24"/>
              </w:rPr>
              <w:t>計算。</w:t>
            </w:r>
            <w:r>
              <w:rPr>
                <w:rFonts w:ascii="標楷體" w:eastAsia="標楷體" w:hAnsi="標楷體"/>
                <w:bCs/>
                <w:color w:val="FF0000"/>
                <w:szCs w:val="24"/>
                <w:u w:val="single"/>
              </w:rPr>
              <w:t>但依櫃檯買賣中心興櫃股票買賣辦法第十一條之一暫停交易者，以暫停交易當日加權平均成交價計算。</w:t>
            </w:r>
          </w:p>
          <w:p w14:paraId="03A8D93F" w14:textId="77777777" w:rsidR="00020800" w:rsidRDefault="00DC08BB">
            <w:pPr>
              <w:spacing w:line="360" w:lineRule="exact"/>
              <w:ind w:firstLine="480"/>
              <w:jc w:val="both"/>
            </w:pPr>
            <w:r>
              <w:rPr>
                <w:rFonts w:ascii="標楷體" w:eastAsia="標楷體" w:hAnsi="標楷體"/>
                <w:bCs/>
                <w:szCs w:val="24"/>
              </w:rPr>
              <w:t>前條擔保維持率及第二項委託人應行補繳之差額計算，</w:t>
            </w:r>
            <w:r>
              <w:rPr>
                <w:rFonts w:ascii="標楷體" w:eastAsia="標楷體" w:hAnsi="標楷體"/>
                <w:bCs/>
                <w:color w:val="FF0000"/>
                <w:szCs w:val="24"/>
                <w:u w:val="single"/>
              </w:rPr>
              <w:t>上市(櫃)有價證券</w:t>
            </w:r>
            <w:r>
              <w:rPr>
                <w:rFonts w:ascii="標楷體" w:eastAsia="標楷體" w:hAnsi="標楷體"/>
                <w:bCs/>
                <w:szCs w:val="24"/>
              </w:rPr>
              <w:t>如無當日收盤價，依下列原則決定之價格計算：</w:t>
            </w:r>
          </w:p>
          <w:p w14:paraId="7FA309FE"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一、當日收盤時，最高買進申報價格高於當日上市開盤競價基準或上櫃開始交易基準價，則為該最高買進申報價格。</w:t>
            </w:r>
          </w:p>
          <w:p w14:paraId="2CC359C0"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二、當日收盤時，最低賣出申報價格低於當日上市開盤競價基準或上櫃開始交易基準價，則為該</w:t>
            </w:r>
            <w:r>
              <w:rPr>
                <w:rFonts w:ascii="標楷體" w:eastAsia="標楷體" w:hAnsi="標楷體"/>
                <w:bCs/>
                <w:szCs w:val="24"/>
              </w:rPr>
              <w:lastRenderedPageBreak/>
              <w:t>最低賣出申報價格。</w:t>
            </w:r>
          </w:p>
          <w:p w14:paraId="5D56D39E"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三、上述情形不成立時，則為該當日上市開盤競價基準或上櫃開始交易基準價。</w:t>
            </w:r>
          </w:p>
          <w:p w14:paraId="67014F6E"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前項開盤競價基準或開始交易基準價，依證券交易所營業細則第五十八條之三第四項，或依櫃檯買賣中心業務規則第六十條之一規定定之。</w:t>
            </w:r>
          </w:p>
          <w:p w14:paraId="3851128B" w14:textId="77777777" w:rsidR="00020800" w:rsidRDefault="00DC08BB">
            <w:pPr>
              <w:spacing w:line="360" w:lineRule="exact"/>
              <w:ind w:firstLine="480"/>
              <w:jc w:val="both"/>
            </w:pPr>
            <w:r>
              <w:rPr>
                <w:rFonts w:ascii="標楷體" w:eastAsia="標楷體" w:hAnsi="標楷體"/>
                <w:bCs/>
                <w:color w:val="EE0000"/>
                <w:szCs w:val="24"/>
                <w:u w:val="single"/>
              </w:rPr>
              <w:t>前條擔保維持率及第二項委託人應行補繳之差額計算，興櫃股票如當日無成交紀錄，則以當日交易時間終了時全體推薦證券商間最高買進報價及最低賣出報價之均價計算。</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12156" w14:textId="77777777" w:rsidR="00020800" w:rsidRDefault="00DC08BB">
            <w:pPr>
              <w:spacing w:line="360" w:lineRule="exact"/>
              <w:ind w:left="240" w:hanging="240"/>
              <w:jc w:val="both"/>
              <w:rPr>
                <w:rFonts w:ascii="標楷體" w:eastAsia="標楷體" w:hAnsi="標楷體"/>
                <w:bCs/>
                <w:szCs w:val="24"/>
              </w:rPr>
            </w:pPr>
            <w:r>
              <w:rPr>
                <w:rFonts w:ascii="標楷體" w:eastAsia="標楷體" w:hAnsi="標楷體"/>
                <w:bCs/>
                <w:szCs w:val="24"/>
              </w:rPr>
              <w:lastRenderedPageBreak/>
              <w:t>第五十四條</w:t>
            </w:r>
          </w:p>
          <w:p w14:paraId="72A8949D"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委託人信用帳戶之整戶擔保維持率低於百分之一百三十者，證券商應即通知委託人就各該筆不足擔保維持率之融資融券，於通知送達之日起二個營業日內補繳融資自備款或融券保證金差額。</w:t>
            </w:r>
          </w:p>
          <w:p w14:paraId="485A49F7"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委託人依前項規定應行補繳之差額，依下列公式計算：</w:t>
            </w:r>
          </w:p>
          <w:p w14:paraId="4AD4572E" w14:textId="77777777" w:rsidR="00020800" w:rsidRDefault="00DC08BB">
            <w:pPr>
              <w:spacing w:line="360" w:lineRule="exact"/>
              <w:jc w:val="both"/>
              <w:rPr>
                <w:rFonts w:ascii="標楷體" w:eastAsia="標楷體" w:hAnsi="標楷體"/>
                <w:bCs/>
                <w:szCs w:val="24"/>
              </w:rPr>
            </w:pPr>
            <w:r>
              <w:rPr>
                <w:rFonts w:ascii="標楷體" w:eastAsia="標楷體" w:hAnsi="標楷體"/>
                <w:bCs/>
                <w:szCs w:val="24"/>
              </w:rPr>
              <w:t>融資自備款差額＝融資金額–(計算日收盤價×融資股數×融資比率)–(計算日面額、收盤價、收市均價或前一營業日每受益權單位淨資產價值×前條第三項所列股票與第五十七條抵繳有價證券或其他商品之單位數×融資比率)</w:t>
            </w:r>
          </w:p>
          <w:p w14:paraId="4F21605E" w14:textId="77777777" w:rsidR="004067E6" w:rsidRDefault="00DC08BB" w:rsidP="00161BF4">
            <w:pPr>
              <w:spacing w:line="360" w:lineRule="exact"/>
              <w:jc w:val="both"/>
              <w:rPr>
                <w:rFonts w:ascii="標楷體" w:eastAsia="標楷體" w:hAnsi="標楷體"/>
                <w:bCs/>
                <w:szCs w:val="24"/>
              </w:rPr>
            </w:pPr>
            <w:r>
              <w:rPr>
                <w:rFonts w:ascii="標楷體" w:eastAsia="標楷體" w:hAnsi="標楷體"/>
                <w:bCs/>
                <w:szCs w:val="24"/>
              </w:rPr>
              <w:t>融券保證金差額＝(計算日收盤價×融券股數×融券保證金成數–融券保證金)＋(計算日收盤價×融券股數–原融券賣出價款)–(計算日面額、收盤價、收市均價或前一營業日每受益權單位淨資產價值×第五十七條抵繳有價證券或其他商品之單位數)</w:t>
            </w:r>
          </w:p>
          <w:p w14:paraId="4E7ADC20"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前項融資自備款差額計算公式所揭前條第三項所列股票與第五十七條抵繳有價證券或其他商品，屬中央登</w:t>
            </w:r>
            <w:r>
              <w:rPr>
                <w:rFonts w:ascii="標楷體" w:eastAsia="標楷體" w:hAnsi="標楷體"/>
                <w:bCs/>
                <w:szCs w:val="24"/>
              </w:rPr>
              <w:lastRenderedPageBreak/>
              <w:t>錄公債、地方政府債券、公司債、金融債、登錄為櫃檯買賣之黃金現貨、開放式證券投資信託基金受益憑證或期貨信託基金受益憑證，其融資比率依主管機關公布之上市(櫃)最高融資比率計算；其餘有未依有價證券得為融資融券標準第二條、第三條規定取得融資融券交易資格者或經同標準第四條、第五條規定暫停融資融券交易資格者，其融資比率為零。</w:t>
            </w:r>
          </w:p>
          <w:p w14:paraId="5A5B99A1" w14:textId="77777777" w:rsidR="00020800" w:rsidRDefault="00DC08BB">
            <w:pPr>
              <w:spacing w:line="360" w:lineRule="exact"/>
              <w:ind w:firstLine="480"/>
              <w:jc w:val="both"/>
            </w:pPr>
            <w:r>
              <w:rPr>
                <w:rFonts w:ascii="標楷體" w:eastAsia="標楷體" w:hAnsi="標楷體"/>
                <w:bCs/>
                <w:szCs w:val="24"/>
              </w:rPr>
              <w:t>有價證券如停止買賣或暫停交易，前條第一項擔保維持率及第二項應行補繳之差額計算，以停止買賣或暫停交易之前一營業日收盤價計算。</w:t>
            </w:r>
          </w:p>
          <w:p w14:paraId="0721A5CF" w14:textId="77777777" w:rsidR="00020800" w:rsidRDefault="00020800">
            <w:pPr>
              <w:spacing w:line="360" w:lineRule="exact"/>
              <w:ind w:firstLine="480"/>
              <w:jc w:val="both"/>
              <w:rPr>
                <w:rFonts w:ascii="標楷體" w:eastAsia="標楷體" w:hAnsi="標楷體"/>
                <w:bCs/>
                <w:szCs w:val="24"/>
              </w:rPr>
            </w:pPr>
          </w:p>
          <w:p w14:paraId="30E2B464" w14:textId="77777777" w:rsidR="00020800" w:rsidRDefault="00020800">
            <w:pPr>
              <w:spacing w:line="360" w:lineRule="exact"/>
              <w:ind w:firstLine="480"/>
              <w:jc w:val="both"/>
              <w:rPr>
                <w:rFonts w:ascii="標楷體" w:eastAsia="標楷體" w:hAnsi="標楷體"/>
                <w:bCs/>
                <w:szCs w:val="24"/>
              </w:rPr>
            </w:pPr>
          </w:p>
          <w:p w14:paraId="042F3108" w14:textId="77777777" w:rsidR="00020800" w:rsidRDefault="00020800">
            <w:pPr>
              <w:spacing w:line="360" w:lineRule="exact"/>
              <w:ind w:firstLine="480"/>
              <w:jc w:val="both"/>
              <w:rPr>
                <w:rFonts w:ascii="標楷體" w:eastAsia="標楷體" w:hAnsi="標楷體"/>
                <w:bCs/>
                <w:szCs w:val="24"/>
              </w:rPr>
            </w:pPr>
          </w:p>
          <w:p w14:paraId="2178A513" w14:textId="77777777" w:rsidR="00020800" w:rsidRDefault="00020800">
            <w:pPr>
              <w:spacing w:line="360" w:lineRule="exact"/>
              <w:ind w:firstLine="480"/>
              <w:jc w:val="both"/>
              <w:rPr>
                <w:rFonts w:ascii="標楷體" w:eastAsia="標楷體" w:hAnsi="標楷體"/>
                <w:bCs/>
                <w:szCs w:val="24"/>
              </w:rPr>
            </w:pPr>
          </w:p>
          <w:p w14:paraId="2C6180FA"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前條擔保維持率及第二項委託人應行補繳之差額計算，如無當日收盤價，依下列原則決定之價格計算：</w:t>
            </w:r>
          </w:p>
          <w:p w14:paraId="339DBDB4" w14:textId="77777777" w:rsidR="00020800" w:rsidRDefault="00020800">
            <w:pPr>
              <w:spacing w:line="360" w:lineRule="exact"/>
              <w:ind w:firstLine="480"/>
              <w:jc w:val="both"/>
              <w:rPr>
                <w:rFonts w:ascii="標楷體" w:eastAsia="標楷體" w:hAnsi="標楷體"/>
                <w:bCs/>
                <w:szCs w:val="24"/>
              </w:rPr>
            </w:pPr>
          </w:p>
          <w:p w14:paraId="458375C9"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一、當日收盤時，最高買進申報價格高於當日上市開盤競價基準或上櫃開始交易基準價，則為該最高買進申報價格。</w:t>
            </w:r>
          </w:p>
          <w:p w14:paraId="5F4A803A"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二、當日收盤時，最低賣出申報價格低於當日上市開盤競價基準或上櫃開始交易基準價，則為該</w:t>
            </w:r>
            <w:r>
              <w:rPr>
                <w:rFonts w:ascii="標楷體" w:eastAsia="標楷體" w:hAnsi="標楷體"/>
                <w:bCs/>
                <w:szCs w:val="24"/>
              </w:rPr>
              <w:lastRenderedPageBreak/>
              <w:t>最低賣出申報價格。</w:t>
            </w:r>
          </w:p>
          <w:p w14:paraId="4826139A"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三、上述情形不成立時，則為該當日上市開盤競價基準或上櫃開始交易基準價。</w:t>
            </w:r>
          </w:p>
          <w:p w14:paraId="77CACF50"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前項開盤競價基準或開始交易基準價，依證券交易所營業細則第五十八條之三第四項，或依櫃檯買賣中心業務規則第六十條之一規定定之。</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01E22" w14:textId="77777777" w:rsidR="00020800" w:rsidRDefault="00DC08BB">
            <w:pPr>
              <w:pStyle w:val="a7"/>
              <w:spacing w:line="360" w:lineRule="exact"/>
              <w:ind w:hanging="480"/>
              <w:jc w:val="both"/>
              <w:rPr>
                <w:rFonts w:ascii="標楷體" w:eastAsia="標楷體" w:hAnsi="標楷體"/>
                <w:szCs w:val="24"/>
              </w:rPr>
            </w:pPr>
            <w:r>
              <w:rPr>
                <w:rFonts w:ascii="標楷體" w:eastAsia="標楷體" w:hAnsi="標楷體"/>
                <w:szCs w:val="24"/>
              </w:rPr>
              <w:lastRenderedPageBreak/>
              <w:t>一、因應興櫃股票納入抵繳擔保品範圍，於第二項融資自備款差額、融券保證金差額公式中增列興櫃股票之計算價格依據，另比照非得為融資融券之上市(櫃)有價證券，其融資比率以零計算，爰修正第三項。</w:t>
            </w:r>
          </w:p>
          <w:p w14:paraId="6010D1BF" w14:textId="77777777" w:rsidR="00020800" w:rsidRDefault="00DC08BB">
            <w:pPr>
              <w:spacing w:line="360" w:lineRule="exact"/>
              <w:ind w:left="480" w:hanging="480"/>
              <w:jc w:val="both"/>
              <w:rPr>
                <w:rFonts w:ascii="標楷體" w:eastAsia="標楷體" w:hAnsi="標楷體"/>
                <w:szCs w:val="24"/>
              </w:rPr>
            </w:pPr>
            <w:r>
              <w:rPr>
                <w:rFonts w:ascii="標楷體" w:eastAsia="標楷體" w:hAnsi="標楷體"/>
                <w:szCs w:val="24"/>
              </w:rPr>
              <w:t>二、為明定興櫃股票停止買賣或暫停交易時，擔保維持率及應行補繳差額之價格計算依據，爰修正第四項。其中，興櫃股票如於交易時間內因漲跌幅過大致暫停交易至收市時，則以暫停交易當日加權平均成交價計算。</w:t>
            </w:r>
          </w:p>
          <w:p w14:paraId="004B6C99" w14:textId="77777777" w:rsidR="00020800" w:rsidRDefault="00DC08BB">
            <w:pPr>
              <w:spacing w:line="360" w:lineRule="exact"/>
              <w:ind w:left="480" w:hanging="480"/>
              <w:jc w:val="both"/>
              <w:rPr>
                <w:rFonts w:ascii="標楷體" w:eastAsia="標楷體" w:hAnsi="標楷體"/>
                <w:szCs w:val="24"/>
              </w:rPr>
            </w:pPr>
            <w:r>
              <w:rPr>
                <w:rFonts w:ascii="標楷體" w:eastAsia="標楷體" w:hAnsi="標楷體"/>
                <w:szCs w:val="24"/>
              </w:rPr>
              <w:t>三、第五項酌作文字調整，以資明確。</w:t>
            </w:r>
          </w:p>
          <w:p w14:paraId="6891E5BF" w14:textId="77777777" w:rsidR="00020800" w:rsidRDefault="00DC08BB">
            <w:pPr>
              <w:spacing w:line="360" w:lineRule="exact"/>
              <w:ind w:left="480" w:hanging="480"/>
              <w:jc w:val="both"/>
              <w:rPr>
                <w:rFonts w:ascii="標楷體" w:eastAsia="標楷體" w:hAnsi="標楷體"/>
                <w:szCs w:val="24"/>
              </w:rPr>
            </w:pPr>
            <w:r>
              <w:rPr>
                <w:rFonts w:ascii="標楷體" w:eastAsia="標楷體" w:hAnsi="標楷體"/>
                <w:szCs w:val="24"/>
              </w:rPr>
              <w:t>四、考量興櫃為報價驅動之議價交易市場，爰明定興櫃股票如當日無成交紀錄，則以交易終了時全體推薦證券商間最高買進報價及最低賣出報價之均價作為替代之計算依據，新增第七項。</w:t>
            </w:r>
          </w:p>
        </w:tc>
      </w:tr>
      <w:tr w:rsidR="00020800" w14:paraId="71AE39E4"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83A5B" w14:textId="77777777" w:rsidR="00020800" w:rsidRDefault="00DC08BB">
            <w:pPr>
              <w:spacing w:line="360" w:lineRule="exact"/>
              <w:jc w:val="both"/>
              <w:rPr>
                <w:rFonts w:ascii="標楷體" w:eastAsia="標楷體" w:hAnsi="標楷體"/>
                <w:bCs/>
                <w:szCs w:val="24"/>
              </w:rPr>
            </w:pPr>
            <w:r>
              <w:rPr>
                <w:rFonts w:ascii="標楷體" w:eastAsia="標楷體" w:hAnsi="標楷體"/>
                <w:bCs/>
                <w:szCs w:val="24"/>
              </w:rPr>
              <w:lastRenderedPageBreak/>
              <w:t>第五十七條</w:t>
            </w:r>
          </w:p>
          <w:p w14:paraId="3DD38395"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委託人得以下列有價證券或其他商品抵繳融券保證金及其依第五十四條規定應補繳之差額：</w:t>
            </w:r>
          </w:p>
          <w:p w14:paraId="766BD2C0"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一、上市</w:t>
            </w:r>
            <w:r w:rsidR="00064B49">
              <w:rPr>
                <w:rFonts w:ascii="標楷體" w:eastAsia="標楷體" w:hAnsi="標楷體"/>
                <w:bCs/>
                <w:szCs w:val="24"/>
              </w:rPr>
              <w:t>(櫃)</w:t>
            </w:r>
            <w:r>
              <w:rPr>
                <w:rFonts w:ascii="標楷體" w:eastAsia="標楷體" w:hAnsi="標楷體"/>
                <w:bCs/>
                <w:szCs w:val="24"/>
              </w:rPr>
              <w:t>中央登錄公債、地方政府債券、公司債、金融債。</w:t>
            </w:r>
          </w:p>
          <w:p w14:paraId="218117F9"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二、非屬變更交易方法之上市</w:t>
            </w:r>
            <w:r w:rsidR="00064B49">
              <w:rPr>
                <w:rFonts w:ascii="標楷體" w:eastAsia="標楷體" w:hAnsi="標楷體"/>
                <w:bCs/>
                <w:szCs w:val="24"/>
              </w:rPr>
              <w:t>(櫃)</w:t>
            </w:r>
            <w:r>
              <w:rPr>
                <w:rFonts w:ascii="標楷體" w:eastAsia="標楷體" w:hAnsi="標楷體"/>
                <w:bCs/>
                <w:szCs w:val="24"/>
              </w:rPr>
              <w:t>有價證券或非屬櫃檯買賣管理股票。但不包含外幣買賣之指數股票型基金受益憑證。</w:t>
            </w:r>
          </w:p>
          <w:p w14:paraId="7081679F" w14:textId="77777777" w:rsidR="00020800" w:rsidRDefault="00DC08BB">
            <w:pPr>
              <w:spacing w:line="360" w:lineRule="exact"/>
              <w:ind w:left="480" w:hanging="480"/>
              <w:jc w:val="both"/>
              <w:rPr>
                <w:rFonts w:ascii="標楷體" w:eastAsia="標楷體" w:hAnsi="標楷體"/>
                <w:bCs/>
                <w:color w:val="EE0000"/>
                <w:szCs w:val="24"/>
                <w:u w:val="single"/>
              </w:rPr>
            </w:pPr>
            <w:r>
              <w:rPr>
                <w:rFonts w:ascii="標楷體" w:eastAsia="標楷體" w:hAnsi="標楷體"/>
                <w:bCs/>
                <w:color w:val="EE0000"/>
                <w:szCs w:val="24"/>
                <w:u w:val="single"/>
              </w:rPr>
              <w:t>三、興櫃股票。</w:t>
            </w:r>
          </w:p>
          <w:p w14:paraId="2F71397F" w14:textId="77777777" w:rsidR="00020800" w:rsidRDefault="00DC08BB">
            <w:pPr>
              <w:spacing w:line="360" w:lineRule="exact"/>
              <w:ind w:left="480" w:hanging="480"/>
              <w:jc w:val="both"/>
            </w:pPr>
            <w:r>
              <w:rPr>
                <w:rFonts w:ascii="標楷體" w:eastAsia="標楷體" w:hAnsi="標楷體"/>
                <w:bCs/>
                <w:color w:val="EE0000"/>
                <w:szCs w:val="24"/>
                <w:u w:val="single"/>
              </w:rPr>
              <w:t>四</w:t>
            </w:r>
            <w:r>
              <w:rPr>
                <w:rFonts w:ascii="標楷體" w:eastAsia="標楷體" w:hAnsi="標楷體"/>
                <w:bCs/>
                <w:szCs w:val="24"/>
              </w:rPr>
              <w:t>、登錄為櫃檯買賣之黃金現貨。</w:t>
            </w:r>
          </w:p>
          <w:p w14:paraId="25B784FF" w14:textId="77777777" w:rsidR="00020800" w:rsidRDefault="00DC08BB">
            <w:pPr>
              <w:spacing w:line="360" w:lineRule="exact"/>
              <w:ind w:left="480" w:hanging="480"/>
              <w:jc w:val="both"/>
            </w:pPr>
            <w:r>
              <w:rPr>
                <w:rFonts w:ascii="標楷體" w:eastAsia="標楷體" w:hAnsi="標楷體"/>
                <w:bCs/>
                <w:color w:val="EE0000"/>
                <w:szCs w:val="24"/>
                <w:u w:val="single"/>
              </w:rPr>
              <w:t>五</w:t>
            </w:r>
            <w:r>
              <w:rPr>
                <w:rFonts w:ascii="標楷體" w:eastAsia="標楷體" w:hAnsi="標楷體"/>
                <w:bCs/>
                <w:szCs w:val="24"/>
              </w:rPr>
              <w:t>、開放式證券投資信託基金受益憑證及期貨信託基金受益憑證，其範圍以新臺幣計價，國內募</w:t>
            </w:r>
            <w:r>
              <w:rPr>
                <w:rFonts w:ascii="標楷體" w:eastAsia="標楷體" w:hAnsi="標楷體"/>
                <w:bCs/>
                <w:szCs w:val="24"/>
              </w:rPr>
              <w:lastRenderedPageBreak/>
              <w:t>集投資國內之證券投資信託基金受益憑證，及對不特定人募集投資國內之期貨信託基金受益憑證為限，並包含以證券商名義為委託人申購者。</w:t>
            </w:r>
          </w:p>
          <w:p w14:paraId="0C75E589"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前項</w:t>
            </w:r>
            <w:r w:rsidR="0013048D" w:rsidRPr="0013048D">
              <w:rPr>
                <w:rFonts w:ascii="標楷體" w:eastAsia="標楷體" w:hAnsi="標楷體"/>
                <w:bCs/>
                <w:color w:val="000000" w:themeColor="text1"/>
                <w:szCs w:val="24"/>
              </w:rPr>
              <w:t>抵繳</w:t>
            </w:r>
            <w:r>
              <w:rPr>
                <w:rFonts w:ascii="標楷體" w:eastAsia="標楷體" w:hAnsi="標楷體"/>
                <w:bCs/>
                <w:szCs w:val="24"/>
              </w:rPr>
              <w:t>有價證券或其他商品不得有下列情事：</w:t>
            </w:r>
          </w:p>
          <w:p w14:paraId="21F36368"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一、黃金現貨不足一交易單位。</w:t>
            </w:r>
          </w:p>
          <w:p w14:paraId="11394DD2" w14:textId="77777777" w:rsidR="00020800" w:rsidRDefault="00020800">
            <w:pPr>
              <w:spacing w:line="360" w:lineRule="exact"/>
              <w:ind w:left="480" w:hanging="480"/>
              <w:jc w:val="both"/>
              <w:rPr>
                <w:rFonts w:ascii="標楷體" w:eastAsia="標楷體" w:hAnsi="標楷體"/>
                <w:bCs/>
                <w:szCs w:val="24"/>
              </w:rPr>
            </w:pPr>
          </w:p>
          <w:p w14:paraId="5E6B3E3D"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二、開放式證券投資信託基金受益憑證及期貨信託基金受益憑證不足一個受益權單位。</w:t>
            </w:r>
          </w:p>
          <w:p w14:paraId="533F98E7"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三、依獎勵投資條例第十三條、促進產業升級條例第十六條、第十七條規定，辦理盈餘轉增資，或公司員工以其紅利轉作所服務產業之增資，或創業投資事業以未分配盈餘增資，其股東或出資人因而取得之發行記名股票，未經轉讓報稅者。</w:t>
            </w:r>
          </w:p>
          <w:p w14:paraId="49D9C197" w14:textId="77777777" w:rsidR="00020800" w:rsidRDefault="00DC08BB">
            <w:pPr>
              <w:spacing w:line="360" w:lineRule="exact"/>
              <w:ind w:firstLine="480"/>
              <w:jc w:val="both"/>
              <w:rPr>
                <w:rFonts w:ascii="標楷體" w:eastAsia="標楷體" w:hAnsi="標楷體"/>
                <w:bCs/>
                <w:color w:val="EE0000"/>
                <w:szCs w:val="24"/>
                <w:u w:val="single"/>
              </w:rPr>
            </w:pPr>
            <w:r>
              <w:rPr>
                <w:rFonts w:ascii="標楷體" w:eastAsia="標楷體" w:hAnsi="標楷體"/>
                <w:bCs/>
                <w:color w:val="EE0000"/>
                <w:szCs w:val="24"/>
                <w:u w:val="single"/>
              </w:rPr>
              <w:t>第一項</w:t>
            </w:r>
            <w:r w:rsidR="0013048D" w:rsidRPr="0013048D">
              <w:rPr>
                <w:rFonts w:ascii="標楷體" w:eastAsia="標楷體" w:hAnsi="標楷體"/>
                <w:bCs/>
                <w:color w:val="EE0000"/>
                <w:szCs w:val="24"/>
                <w:u w:val="single"/>
              </w:rPr>
              <w:t>抵繳</w:t>
            </w:r>
            <w:r>
              <w:rPr>
                <w:rFonts w:ascii="標楷體" w:eastAsia="標楷體" w:hAnsi="標楷體"/>
                <w:bCs/>
                <w:color w:val="EE0000"/>
                <w:szCs w:val="24"/>
                <w:u w:val="single"/>
              </w:rPr>
              <w:t>有價證券或其他商品，經證券商評估風險高於一定標準或抵繳金額低於一定標準者，得不予收受。證券商應訂定具體風險認定標準及最低收受金額。</w:t>
            </w:r>
          </w:p>
          <w:p w14:paraId="41E4985E"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證券商接受委託人以第一項所列非本人所有之有價證券或其他商品抵繳者，應另檢附所有人之戶籍資料及同意書。</w:t>
            </w:r>
          </w:p>
          <w:p w14:paraId="79B6382B" w14:textId="77777777" w:rsidR="00020800" w:rsidRDefault="00DC08BB">
            <w:pPr>
              <w:spacing w:line="360" w:lineRule="exact"/>
              <w:ind w:firstLine="480"/>
              <w:jc w:val="both"/>
            </w:pPr>
            <w:r>
              <w:rPr>
                <w:rFonts w:ascii="標楷體" w:eastAsia="標楷體" w:hAnsi="標楷體"/>
                <w:bCs/>
                <w:szCs w:val="24"/>
              </w:rPr>
              <w:lastRenderedPageBreak/>
              <w:t>第一項及第</w:t>
            </w:r>
            <w:r>
              <w:rPr>
                <w:rFonts w:ascii="標楷體" w:eastAsia="標楷體" w:hAnsi="標楷體"/>
                <w:bCs/>
                <w:color w:val="EE0000"/>
                <w:szCs w:val="24"/>
                <w:u w:val="single"/>
              </w:rPr>
              <w:t>四</w:t>
            </w:r>
            <w:r>
              <w:rPr>
                <w:rFonts w:ascii="標楷體" w:eastAsia="標楷體" w:hAnsi="標楷體"/>
                <w:bCs/>
                <w:szCs w:val="24"/>
              </w:rPr>
              <w:t>項抵繳有價證券</w:t>
            </w:r>
            <w:r>
              <w:rPr>
                <w:rFonts w:ascii="標楷體" w:eastAsia="標楷體" w:hAnsi="標楷體"/>
                <w:bCs/>
                <w:color w:val="EE0000"/>
                <w:szCs w:val="24"/>
                <w:u w:val="single"/>
              </w:rPr>
              <w:t>屬上市</w:t>
            </w:r>
            <w:r w:rsidR="00A62993">
              <w:rPr>
                <w:rFonts w:ascii="標楷體" w:eastAsia="標楷體" w:hAnsi="標楷體"/>
                <w:bCs/>
                <w:color w:val="FF0000"/>
                <w:szCs w:val="24"/>
                <w:u w:val="single"/>
              </w:rPr>
              <w:t>(櫃)</w:t>
            </w:r>
            <w:r>
              <w:rPr>
                <w:rFonts w:ascii="標楷體" w:eastAsia="標楷體" w:hAnsi="標楷體"/>
                <w:bCs/>
                <w:color w:val="EE0000"/>
                <w:szCs w:val="24"/>
                <w:u w:val="single"/>
              </w:rPr>
              <w:t>有價證券者</w:t>
            </w:r>
            <w:r>
              <w:rPr>
                <w:rFonts w:ascii="標楷體" w:eastAsia="標楷體" w:hAnsi="標楷體"/>
                <w:bCs/>
                <w:szCs w:val="24"/>
              </w:rPr>
              <w:t>，其無償配股股票股利率達百分之二十以上，或該證券之發行公司辦理分割減資事宜，且減資後股票恢復交易與分割受讓公司之股票上市（櫃）為同日者，該權值新股或無第二項第三款所列情事之分割受讓公司之股票應適用第五十三條第三項、第四項、第五項之規定且前項同意書應註明放棄緩課所得稅事宜。</w:t>
            </w:r>
          </w:p>
          <w:p w14:paraId="5E95CAA5"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證券商接受委託人以證券商名義申購之開放式證券投資信託基金受益憑證為抵繳有價證券者，應由受託證券商自行設簿登記管理，並將相關資訊通知集保結算所，不適用以證券集中保管帳簿劃撥方式辦理抵繳。</w:t>
            </w:r>
          </w:p>
          <w:p w14:paraId="338C140D" w14:textId="77777777" w:rsidR="00244095" w:rsidRPr="00AC6834" w:rsidRDefault="00DC08BB" w:rsidP="00AC6834">
            <w:pPr>
              <w:spacing w:line="360" w:lineRule="exact"/>
              <w:ind w:firstLine="480"/>
              <w:jc w:val="both"/>
              <w:rPr>
                <w:rFonts w:ascii="標楷體" w:eastAsia="標楷體" w:hAnsi="標楷體"/>
                <w:bCs/>
                <w:szCs w:val="24"/>
              </w:rPr>
            </w:pPr>
            <w:r>
              <w:rPr>
                <w:rFonts w:ascii="標楷體" w:eastAsia="標楷體" w:hAnsi="標楷體"/>
                <w:bCs/>
                <w:szCs w:val="24"/>
              </w:rPr>
              <w:t>證券商接受委託人以中央登錄公債為抵繳有價證券者，應於中央登錄債券清算銀行開立擔保品專戶，辦理抵繳匯撥。</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A1715" w14:textId="77777777" w:rsidR="00020800" w:rsidRDefault="00DC08BB">
            <w:pPr>
              <w:spacing w:line="360" w:lineRule="exact"/>
              <w:ind w:left="240" w:hanging="240"/>
              <w:jc w:val="both"/>
              <w:rPr>
                <w:rFonts w:ascii="標楷體" w:eastAsia="標楷體" w:hAnsi="標楷體"/>
                <w:bCs/>
                <w:szCs w:val="24"/>
              </w:rPr>
            </w:pPr>
            <w:r>
              <w:rPr>
                <w:rFonts w:ascii="標楷體" w:eastAsia="標楷體" w:hAnsi="標楷體"/>
                <w:bCs/>
                <w:szCs w:val="24"/>
              </w:rPr>
              <w:lastRenderedPageBreak/>
              <w:t>第五十七條</w:t>
            </w:r>
          </w:p>
          <w:p w14:paraId="72844ABB"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委託人得以下列有價證券或其他商品抵繳融券保證金及其依第五十四條規定應補繳之差額：</w:t>
            </w:r>
          </w:p>
          <w:p w14:paraId="5833DA6C"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一、上市</w:t>
            </w:r>
            <w:r w:rsidR="00064B49">
              <w:rPr>
                <w:rFonts w:ascii="標楷體" w:eastAsia="標楷體" w:hAnsi="標楷體"/>
                <w:bCs/>
                <w:szCs w:val="24"/>
              </w:rPr>
              <w:t>(櫃)</w:t>
            </w:r>
            <w:r>
              <w:rPr>
                <w:rFonts w:ascii="標楷體" w:eastAsia="標楷體" w:hAnsi="標楷體"/>
                <w:bCs/>
                <w:szCs w:val="24"/>
              </w:rPr>
              <w:t>中央登錄公債、地方政府債券、公司債、金融債。</w:t>
            </w:r>
          </w:p>
          <w:p w14:paraId="584F500D"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二、非屬變更交易方法之上市</w:t>
            </w:r>
            <w:r w:rsidR="00064B49">
              <w:rPr>
                <w:rFonts w:ascii="標楷體" w:eastAsia="標楷體" w:hAnsi="標楷體"/>
                <w:bCs/>
                <w:szCs w:val="24"/>
              </w:rPr>
              <w:t>(櫃)</w:t>
            </w:r>
            <w:r>
              <w:rPr>
                <w:rFonts w:ascii="標楷體" w:eastAsia="標楷體" w:hAnsi="標楷體"/>
                <w:bCs/>
                <w:szCs w:val="24"/>
              </w:rPr>
              <w:t>有價證券或非屬櫃檯買賣管理股票。但不包含外幣買賣之指數股票型基金受益憑證。</w:t>
            </w:r>
          </w:p>
          <w:p w14:paraId="75BEF55C" w14:textId="77777777" w:rsidR="00020800" w:rsidRDefault="00020800">
            <w:pPr>
              <w:spacing w:line="360" w:lineRule="exact"/>
              <w:ind w:left="480" w:hanging="480"/>
              <w:jc w:val="both"/>
              <w:rPr>
                <w:rFonts w:ascii="標楷體" w:eastAsia="標楷體" w:hAnsi="標楷體"/>
                <w:bCs/>
                <w:szCs w:val="24"/>
              </w:rPr>
            </w:pPr>
          </w:p>
          <w:p w14:paraId="39D7C72E" w14:textId="77777777" w:rsidR="00020800" w:rsidRDefault="00DC08BB">
            <w:pPr>
              <w:spacing w:line="360" w:lineRule="exact"/>
              <w:ind w:left="480" w:hanging="480"/>
              <w:jc w:val="both"/>
            </w:pPr>
            <w:r w:rsidRPr="000D0D59">
              <w:rPr>
                <w:rFonts w:ascii="標楷體" w:eastAsia="標楷體" w:hAnsi="標楷體"/>
                <w:bCs/>
                <w:szCs w:val="24"/>
              </w:rPr>
              <w:t>三</w:t>
            </w:r>
            <w:r>
              <w:rPr>
                <w:rFonts w:ascii="標楷體" w:eastAsia="標楷體" w:hAnsi="標楷體"/>
                <w:bCs/>
                <w:szCs w:val="24"/>
              </w:rPr>
              <w:t>、登錄為櫃檯買賣之黃金現貨。</w:t>
            </w:r>
          </w:p>
          <w:p w14:paraId="2600F3D3" w14:textId="77777777" w:rsidR="00020800" w:rsidRDefault="00DC08BB">
            <w:pPr>
              <w:spacing w:line="360" w:lineRule="exact"/>
              <w:ind w:left="480" w:hanging="480"/>
              <w:jc w:val="both"/>
            </w:pPr>
            <w:r w:rsidRPr="000D0D59">
              <w:rPr>
                <w:rFonts w:ascii="標楷體" w:eastAsia="標楷體" w:hAnsi="標楷體"/>
                <w:bCs/>
                <w:szCs w:val="24"/>
              </w:rPr>
              <w:t>四</w:t>
            </w:r>
            <w:r>
              <w:rPr>
                <w:rFonts w:ascii="標楷體" w:eastAsia="標楷體" w:hAnsi="標楷體"/>
                <w:bCs/>
                <w:szCs w:val="24"/>
              </w:rPr>
              <w:t>、開放式證券投資信託基金受益憑證及期貨信託基金受益憑證，其範圍以新臺幣計價，國內募</w:t>
            </w:r>
            <w:r>
              <w:rPr>
                <w:rFonts w:ascii="標楷體" w:eastAsia="標楷體" w:hAnsi="標楷體"/>
                <w:bCs/>
                <w:szCs w:val="24"/>
              </w:rPr>
              <w:lastRenderedPageBreak/>
              <w:t>集投資國內之證券投資信託基金受益憑證，及對不特定人募集投資國內之期貨信託基金受益憑證為限，並包含以證券商名義為委託人申購者。</w:t>
            </w:r>
          </w:p>
          <w:p w14:paraId="0D969D67"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前項</w:t>
            </w:r>
            <w:r w:rsidRPr="0013048D">
              <w:rPr>
                <w:rFonts w:ascii="標楷體" w:eastAsia="標楷體" w:hAnsi="標楷體"/>
                <w:bCs/>
                <w:color w:val="000000" w:themeColor="text1"/>
                <w:szCs w:val="24"/>
              </w:rPr>
              <w:t>抵繳</w:t>
            </w:r>
            <w:r>
              <w:rPr>
                <w:rFonts w:ascii="標楷體" w:eastAsia="標楷體" w:hAnsi="標楷體"/>
                <w:bCs/>
                <w:szCs w:val="24"/>
              </w:rPr>
              <w:t>有價證券或其他商品不得有下列情事：</w:t>
            </w:r>
          </w:p>
          <w:p w14:paraId="66213149" w14:textId="77777777" w:rsidR="00020800" w:rsidRDefault="00DC08BB">
            <w:pPr>
              <w:spacing w:line="360" w:lineRule="exact"/>
              <w:ind w:left="480" w:hanging="480"/>
              <w:jc w:val="both"/>
            </w:pPr>
            <w:r>
              <w:rPr>
                <w:rFonts w:ascii="標楷體" w:eastAsia="標楷體" w:hAnsi="標楷體"/>
                <w:bCs/>
                <w:szCs w:val="24"/>
              </w:rPr>
              <w:t>一、</w:t>
            </w:r>
            <w:r>
              <w:rPr>
                <w:rFonts w:ascii="標楷體" w:eastAsia="標楷體" w:hAnsi="標楷體"/>
                <w:bCs/>
                <w:color w:val="FF0000"/>
                <w:szCs w:val="24"/>
                <w:u w:val="single"/>
              </w:rPr>
              <w:t>上市(櫃)有價證券及</w:t>
            </w:r>
            <w:r>
              <w:rPr>
                <w:rFonts w:ascii="標楷體" w:eastAsia="標楷體" w:hAnsi="標楷體"/>
                <w:bCs/>
                <w:szCs w:val="24"/>
              </w:rPr>
              <w:t>黃金現貨不足一交易單位。</w:t>
            </w:r>
          </w:p>
          <w:p w14:paraId="226CB88E"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二、開放式證券投資信託基金受益憑證及期貨信託基金受益憑證不足一個受益權單位。</w:t>
            </w:r>
          </w:p>
          <w:p w14:paraId="3FF0DCCD"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三、依獎勵投資條例第十三條、促進產業升級條例第十六條、第十七條規定，辦理盈餘轉增資，或公司員工以其紅利轉作所服務產業之增資，或創業投資事業以未分配盈餘增資，其股東或出資人因而取得之發行記名股票，未經轉讓報稅者。</w:t>
            </w:r>
          </w:p>
          <w:p w14:paraId="16538DAD" w14:textId="77777777" w:rsidR="00020800" w:rsidRDefault="00020800">
            <w:pPr>
              <w:spacing w:line="360" w:lineRule="exact"/>
              <w:ind w:left="480" w:hanging="480"/>
              <w:jc w:val="both"/>
              <w:rPr>
                <w:rFonts w:ascii="標楷體" w:eastAsia="標楷體" w:hAnsi="標楷體"/>
                <w:bCs/>
                <w:szCs w:val="24"/>
              </w:rPr>
            </w:pPr>
          </w:p>
          <w:p w14:paraId="1E6EDA3A" w14:textId="77777777" w:rsidR="00020800" w:rsidRDefault="00020800">
            <w:pPr>
              <w:spacing w:line="360" w:lineRule="exact"/>
              <w:ind w:left="480" w:hanging="480"/>
              <w:jc w:val="both"/>
              <w:rPr>
                <w:rFonts w:ascii="標楷體" w:eastAsia="標楷體" w:hAnsi="標楷體"/>
                <w:bCs/>
                <w:szCs w:val="24"/>
              </w:rPr>
            </w:pPr>
          </w:p>
          <w:p w14:paraId="1DB69546" w14:textId="77777777" w:rsidR="00020800" w:rsidRDefault="00020800">
            <w:pPr>
              <w:spacing w:line="360" w:lineRule="exact"/>
              <w:ind w:left="480" w:hanging="480"/>
              <w:jc w:val="both"/>
              <w:rPr>
                <w:rFonts w:ascii="標楷體" w:eastAsia="標楷體" w:hAnsi="標楷體"/>
                <w:bCs/>
                <w:szCs w:val="24"/>
              </w:rPr>
            </w:pPr>
          </w:p>
          <w:p w14:paraId="00896CBC" w14:textId="77777777" w:rsidR="00020800" w:rsidRDefault="00020800">
            <w:pPr>
              <w:spacing w:line="360" w:lineRule="exact"/>
              <w:ind w:left="480" w:hanging="480"/>
              <w:jc w:val="both"/>
              <w:rPr>
                <w:rFonts w:ascii="標楷體" w:eastAsia="標楷體" w:hAnsi="標楷體"/>
                <w:bCs/>
                <w:szCs w:val="24"/>
              </w:rPr>
            </w:pPr>
          </w:p>
          <w:p w14:paraId="331D14A8" w14:textId="77777777" w:rsidR="00020800" w:rsidRDefault="00020800">
            <w:pPr>
              <w:spacing w:line="360" w:lineRule="exact"/>
              <w:ind w:left="480" w:hanging="480"/>
              <w:jc w:val="both"/>
              <w:rPr>
                <w:rFonts w:ascii="標楷體" w:eastAsia="標楷體" w:hAnsi="標楷體"/>
                <w:bCs/>
                <w:szCs w:val="24"/>
              </w:rPr>
            </w:pPr>
          </w:p>
          <w:p w14:paraId="7DAE38E3" w14:textId="77777777" w:rsidR="00020800" w:rsidRDefault="00020800">
            <w:pPr>
              <w:spacing w:line="360" w:lineRule="exact"/>
              <w:ind w:left="480" w:hanging="480"/>
              <w:jc w:val="both"/>
              <w:rPr>
                <w:rFonts w:ascii="標楷體" w:eastAsia="標楷體" w:hAnsi="標楷體"/>
                <w:bCs/>
                <w:szCs w:val="24"/>
              </w:rPr>
            </w:pPr>
          </w:p>
          <w:p w14:paraId="1FC9493A"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證券商接受委託人以第一項所列非本人所有之有價證券或其他商品抵繳者，應另檢附所有人之戶籍資料及同意書。</w:t>
            </w:r>
          </w:p>
          <w:p w14:paraId="080AEF65" w14:textId="77777777" w:rsidR="00020800" w:rsidRDefault="00DC08BB">
            <w:pPr>
              <w:spacing w:line="360" w:lineRule="exact"/>
              <w:ind w:firstLine="480"/>
              <w:jc w:val="both"/>
            </w:pPr>
            <w:r>
              <w:rPr>
                <w:rFonts w:ascii="標楷體" w:eastAsia="標楷體" w:hAnsi="標楷體"/>
                <w:bCs/>
                <w:szCs w:val="24"/>
              </w:rPr>
              <w:lastRenderedPageBreak/>
              <w:t>第一項及第</w:t>
            </w:r>
            <w:r w:rsidRPr="003945C4">
              <w:rPr>
                <w:rFonts w:ascii="標楷體" w:eastAsia="標楷體" w:hAnsi="標楷體"/>
                <w:bCs/>
                <w:color w:val="FF0000"/>
                <w:szCs w:val="24"/>
                <w:u w:val="single"/>
              </w:rPr>
              <w:t>三</w:t>
            </w:r>
            <w:r>
              <w:rPr>
                <w:rFonts w:ascii="標楷體" w:eastAsia="標楷體" w:hAnsi="標楷體"/>
                <w:bCs/>
                <w:szCs w:val="24"/>
              </w:rPr>
              <w:t>項抵繳有價證券，其無償配股股票股利率達百分之二十以上，或該證券之發行公司辦理分割減資事宜，且減資後股票恢復交易與分割受讓公司之股票上市(櫃)為同日者，該權值新股或無第二項第三款所列情事之分割受讓公司之股票應適用第五十三條第三項、第四項、第五項之規定且前項同意書應註明放棄緩課所得稅事宜。</w:t>
            </w:r>
          </w:p>
          <w:p w14:paraId="268EA772" w14:textId="77777777" w:rsidR="00020800" w:rsidRDefault="00020800">
            <w:pPr>
              <w:spacing w:line="360" w:lineRule="exact"/>
              <w:ind w:firstLine="480"/>
              <w:jc w:val="both"/>
              <w:rPr>
                <w:rFonts w:ascii="標楷體" w:eastAsia="標楷體" w:hAnsi="標楷體"/>
                <w:bCs/>
                <w:szCs w:val="24"/>
              </w:rPr>
            </w:pPr>
          </w:p>
          <w:p w14:paraId="49BA8B44"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證券商接受委託人以證券商名義申購之開放式證券投資信託基金受益憑證為抵繳有價證券者，應由受託證券商自行設簿登記管理，並將相關資訊通知集保結算所，不適用以證券集中保管帳簿劃撥方式辦理抵繳。</w:t>
            </w:r>
          </w:p>
          <w:p w14:paraId="147D9B27"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證券商接受委託人以中央登錄公債為抵繳有價證券者，應於中央登錄債券清算銀行開立擔保品專戶，辦理抵繳匯撥。</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5ECC7" w14:textId="77777777" w:rsidR="00020800" w:rsidRDefault="00DC08BB">
            <w:pPr>
              <w:pStyle w:val="a7"/>
              <w:spacing w:line="360" w:lineRule="exact"/>
              <w:ind w:hanging="480"/>
              <w:jc w:val="both"/>
              <w:rPr>
                <w:rFonts w:ascii="Times New Roman" w:eastAsia="標楷體" w:hAnsi="Times New Roman"/>
              </w:rPr>
            </w:pPr>
            <w:r>
              <w:rPr>
                <w:rFonts w:ascii="Times New Roman" w:eastAsia="標楷體" w:hAnsi="Times New Roman"/>
              </w:rPr>
              <w:lastRenderedPageBreak/>
              <w:t>一、</w:t>
            </w:r>
            <w:r w:rsidRPr="00064B49">
              <w:rPr>
                <w:rFonts w:ascii="Times New Roman" w:eastAsia="標楷體" w:hAnsi="Times New Roman"/>
                <w:szCs w:val="24"/>
              </w:rPr>
              <w:t>為</w:t>
            </w:r>
            <w:r w:rsidR="006779C0">
              <w:rPr>
                <w:rFonts w:ascii="Times New Roman" w:eastAsia="標楷體" w:hAnsi="Times New Roman" w:hint="eastAsia"/>
                <w:szCs w:val="24"/>
              </w:rPr>
              <w:t>擴大</w:t>
            </w:r>
            <w:r w:rsidR="00D90745" w:rsidRPr="00D90745">
              <w:rPr>
                <w:rFonts w:ascii="Times New Roman" w:eastAsia="標楷體" w:hAnsi="Times New Roman" w:hint="eastAsia"/>
                <w:szCs w:val="24"/>
              </w:rPr>
              <w:t>投資人</w:t>
            </w:r>
            <w:r w:rsidR="00064B49" w:rsidRPr="00064B49">
              <w:rPr>
                <w:rFonts w:ascii="Times New Roman" w:eastAsia="標楷體" w:hAnsi="Times New Roman" w:hint="eastAsia"/>
                <w:szCs w:val="24"/>
              </w:rPr>
              <w:t>抵繳擔保品</w:t>
            </w:r>
            <w:r w:rsidR="006779C0">
              <w:rPr>
                <w:rFonts w:ascii="Times New Roman" w:eastAsia="標楷體" w:hAnsi="Times New Roman" w:hint="eastAsia"/>
                <w:szCs w:val="24"/>
              </w:rPr>
              <w:t>之</w:t>
            </w:r>
            <w:r w:rsidR="003E4D0C">
              <w:rPr>
                <w:rFonts w:ascii="Times New Roman" w:eastAsia="標楷體" w:hAnsi="Times New Roman" w:hint="eastAsia"/>
                <w:szCs w:val="24"/>
              </w:rPr>
              <w:t>選</w:t>
            </w:r>
            <w:r w:rsidR="00D90745" w:rsidRPr="00D90745">
              <w:rPr>
                <w:rFonts w:ascii="Times New Roman" w:eastAsia="標楷體" w:hAnsi="Times New Roman" w:hint="eastAsia"/>
                <w:szCs w:val="24"/>
              </w:rPr>
              <w:t>擇</w:t>
            </w:r>
            <w:r w:rsidRPr="00064B49">
              <w:rPr>
                <w:rFonts w:ascii="Times New Roman" w:eastAsia="標楷體" w:hAnsi="Times New Roman"/>
                <w:szCs w:val="24"/>
              </w:rPr>
              <w:t>，</w:t>
            </w:r>
            <w:r w:rsidR="006779C0">
              <w:rPr>
                <w:rFonts w:ascii="Times New Roman" w:eastAsia="標楷體" w:hAnsi="Times New Roman" w:hint="eastAsia"/>
                <w:szCs w:val="24"/>
              </w:rPr>
              <w:t>增列</w:t>
            </w:r>
            <w:r>
              <w:rPr>
                <w:rFonts w:ascii="Times New Roman" w:eastAsia="標楷體" w:hAnsi="Times New Roman"/>
              </w:rPr>
              <w:t>興櫃股票及上市</w:t>
            </w:r>
            <w:r w:rsidR="00064B49">
              <w:rPr>
                <w:rFonts w:ascii="標楷體" w:eastAsia="標楷體" w:hAnsi="標楷體"/>
                <w:bCs/>
                <w:szCs w:val="24"/>
              </w:rPr>
              <w:t>(櫃)</w:t>
            </w:r>
            <w:r>
              <w:rPr>
                <w:rFonts w:ascii="Times New Roman" w:eastAsia="標楷體" w:hAnsi="Times New Roman"/>
              </w:rPr>
              <w:t>零股</w:t>
            </w:r>
            <w:r w:rsidR="006779C0">
              <w:rPr>
                <w:rFonts w:ascii="Times New Roman" w:eastAsia="標楷體" w:hAnsi="Times New Roman" w:hint="eastAsia"/>
              </w:rPr>
              <w:t>為</w:t>
            </w:r>
            <w:r>
              <w:rPr>
                <w:rFonts w:ascii="Times New Roman" w:eastAsia="標楷體" w:hAnsi="Times New Roman"/>
              </w:rPr>
              <w:t>抵繳擔保品，</w:t>
            </w:r>
            <w:r w:rsidR="000E51B8">
              <w:rPr>
                <w:rFonts w:ascii="Times New Roman" w:eastAsia="標楷體" w:hAnsi="Times New Roman"/>
              </w:rPr>
              <w:t>爰</w:t>
            </w:r>
            <w:r w:rsidR="00547D14">
              <w:rPr>
                <w:rFonts w:ascii="Times New Roman" w:eastAsia="標楷體" w:hAnsi="Times New Roman"/>
              </w:rPr>
              <w:t>新增第一項第三款並調整款次，暨修</w:t>
            </w:r>
            <w:r w:rsidR="00547D14">
              <w:rPr>
                <w:rFonts w:ascii="Times New Roman" w:eastAsia="標楷體" w:hAnsi="Times New Roman" w:hint="eastAsia"/>
              </w:rPr>
              <w:t>正</w:t>
            </w:r>
            <w:r>
              <w:rPr>
                <w:rFonts w:ascii="Times New Roman" w:eastAsia="標楷體" w:hAnsi="Times New Roman"/>
              </w:rPr>
              <w:t>第二項第一款規定。</w:t>
            </w:r>
          </w:p>
          <w:p w14:paraId="2B495E51" w14:textId="77777777" w:rsidR="008C0847" w:rsidRPr="00DD5C88" w:rsidRDefault="00DC08BB">
            <w:pPr>
              <w:pStyle w:val="a7"/>
              <w:spacing w:line="360" w:lineRule="exact"/>
              <w:ind w:hanging="480"/>
              <w:jc w:val="both"/>
              <w:rPr>
                <w:color w:val="000000" w:themeColor="text1"/>
              </w:rPr>
            </w:pPr>
            <w:r w:rsidRPr="00DD5C88">
              <w:rPr>
                <w:rFonts w:ascii="標楷體" w:eastAsia="標楷體" w:hAnsi="標楷體"/>
                <w:color w:val="000000" w:themeColor="text1"/>
                <w:szCs w:val="24"/>
              </w:rPr>
              <w:t>二、</w:t>
            </w:r>
            <w:r w:rsidR="00547D14" w:rsidRPr="00547D14">
              <w:rPr>
                <w:rFonts w:ascii="標楷體" w:eastAsia="標楷體" w:hAnsi="標楷體" w:hint="eastAsia"/>
                <w:color w:val="000000" w:themeColor="text1"/>
                <w:szCs w:val="24"/>
              </w:rPr>
              <w:t>考量證券商於收受抵繳擔保品時，需妥善控管風險，且部分擔保品抵繳價值偏低，致抵繳效益有限，爰規範證券商應訂定具體之風險認定標準及最低收受抵繳金額，以作為評估是否收受抵繳擔保品之依據</w:t>
            </w:r>
            <w:r w:rsidR="00590232" w:rsidRPr="00590232">
              <w:rPr>
                <w:rFonts w:ascii="標楷體" w:eastAsia="標楷體" w:hAnsi="標楷體" w:hint="eastAsia"/>
                <w:color w:val="000000" w:themeColor="text1"/>
                <w:szCs w:val="24"/>
              </w:rPr>
              <w:t>，</w:t>
            </w:r>
            <w:r w:rsidR="00490C95">
              <w:rPr>
                <w:rFonts w:ascii="Times New Roman" w:eastAsia="標楷體" w:hAnsi="Times New Roman"/>
              </w:rPr>
              <w:t>爰新增第</w:t>
            </w:r>
            <w:r w:rsidR="00490C95" w:rsidRPr="00DD5C88">
              <w:rPr>
                <w:rFonts w:ascii="標楷體" w:eastAsia="標楷體" w:hAnsi="標楷體"/>
                <w:szCs w:val="24"/>
              </w:rPr>
              <w:t>三</w:t>
            </w:r>
            <w:r w:rsidR="00490C95">
              <w:rPr>
                <w:rFonts w:ascii="Times New Roman" w:eastAsia="標楷體" w:hAnsi="Times New Roman"/>
              </w:rPr>
              <w:t>項並調整項次</w:t>
            </w:r>
            <w:r w:rsidRPr="00DD5C88">
              <w:rPr>
                <w:rFonts w:ascii="標楷體" w:eastAsia="標楷體" w:hAnsi="標楷體"/>
                <w:color w:val="000000" w:themeColor="text1"/>
                <w:szCs w:val="24"/>
              </w:rPr>
              <w:t>。</w:t>
            </w:r>
          </w:p>
          <w:p w14:paraId="38B422F7" w14:textId="77777777" w:rsidR="00020800" w:rsidRDefault="00DC08BB" w:rsidP="00490C95">
            <w:pPr>
              <w:pStyle w:val="a7"/>
              <w:spacing w:line="360" w:lineRule="exact"/>
              <w:ind w:hanging="480"/>
              <w:jc w:val="both"/>
            </w:pPr>
            <w:r w:rsidRPr="00DD5C88">
              <w:rPr>
                <w:rFonts w:ascii="標楷體" w:eastAsia="標楷體" w:hAnsi="標楷體"/>
                <w:szCs w:val="24"/>
              </w:rPr>
              <w:t>三、考</w:t>
            </w:r>
            <w:r>
              <w:rPr>
                <w:rFonts w:ascii="標楷體" w:eastAsia="標楷體" w:hAnsi="標楷體"/>
                <w:szCs w:val="24"/>
              </w:rPr>
              <w:t>量興櫃為報價驅動之議價交易市場，興櫃股</w:t>
            </w:r>
            <w:r>
              <w:rPr>
                <w:rFonts w:ascii="標楷體" w:eastAsia="標楷體" w:hAnsi="標楷體"/>
                <w:szCs w:val="24"/>
              </w:rPr>
              <w:lastRenderedPageBreak/>
              <w:t>票除權息時係由推薦證券商綜合考量各項因素後進行報價，並未計算及揭示除權息參考價，故無論興櫃股票無償配股率高低，均不進行假除權作業，爰</w:t>
            </w:r>
            <w:r w:rsidR="007A2AF6" w:rsidRPr="007A2AF6">
              <w:rPr>
                <w:rFonts w:ascii="標楷體" w:eastAsia="標楷體" w:hAnsi="標楷體" w:hint="eastAsia"/>
                <w:szCs w:val="24"/>
              </w:rPr>
              <w:t>於</w:t>
            </w:r>
            <w:r w:rsidR="00DF2E75" w:rsidRPr="00DF2E75">
              <w:rPr>
                <w:rFonts w:ascii="標楷體" w:eastAsia="標楷體" w:hAnsi="標楷體" w:hint="eastAsia"/>
                <w:szCs w:val="24"/>
              </w:rPr>
              <w:t>修正</w:t>
            </w:r>
            <w:r w:rsidR="007A2AF6" w:rsidRPr="007A2AF6">
              <w:rPr>
                <w:rFonts w:ascii="標楷體" w:eastAsia="標楷體" w:hAnsi="標楷體" w:hint="eastAsia"/>
                <w:szCs w:val="24"/>
              </w:rPr>
              <w:t>後之第五項，</w:t>
            </w:r>
            <w:r>
              <w:rPr>
                <w:rFonts w:ascii="標楷體" w:eastAsia="標楷體" w:hAnsi="標楷體"/>
                <w:szCs w:val="24"/>
              </w:rPr>
              <w:t>排除興櫃股票之權值新股作為擔保之規定。</w:t>
            </w:r>
          </w:p>
        </w:tc>
      </w:tr>
      <w:tr w:rsidR="00446EB7" w:rsidRPr="00BB3605" w14:paraId="56A196B3"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FC9B4" w14:textId="77777777" w:rsidR="00446EB7" w:rsidRDefault="00446EB7" w:rsidP="00446EB7">
            <w:pPr>
              <w:spacing w:line="360" w:lineRule="exact"/>
              <w:ind w:left="240" w:hanging="240"/>
              <w:jc w:val="both"/>
              <w:rPr>
                <w:rFonts w:ascii="標楷體" w:eastAsia="標楷體" w:hAnsi="標楷體"/>
                <w:bCs/>
                <w:szCs w:val="24"/>
              </w:rPr>
            </w:pPr>
            <w:r>
              <w:rPr>
                <w:rFonts w:ascii="標楷體" w:eastAsia="標楷體" w:hAnsi="標楷體"/>
                <w:bCs/>
                <w:szCs w:val="24"/>
              </w:rPr>
              <w:lastRenderedPageBreak/>
              <w:t>第五十</w:t>
            </w:r>
            <w:r w:rsidR="0041218D">
              <w:rPr>
                <w:rFonts w:ascii="標楷體" w:eastAsia="標楷體" w:hAnsi="標楷體"/>
                <w:bCs/>
                <w:szCs w:val="24"/>
              </w:rPr>
              <w:t>八</w:t>
            </w:r>
            <w:r w:rsidR="0041218D">
              <w:rPr>
                <w:rFonts w:ascii="標楷體" w:eastAsia="標楷體" w:hAnsi="標楷體" w:hint="eastAsia"/>
                <w:bCs/>
                <w:szCs w:val="24"/>
              </w:rPr>
              <w:t>條</w:t>
            </w:r>
          </w:p>
          <w:p w14:paraId="6119CB31" w14:textId="77777777" w:rsidR="00677B2E" w:rsidRDefault="00677B2E" w:rsidP="00677B2E">
            <w:pPr>
              <w:spacing w:line="360" w:lineRule="exact"/>
              <w:ind w:firstLine="480"/>
              <w:jc w:val="both"/>
              <w:rPr>
                <w:rFonts w:ascii="標楷體" w:eastAsia="標楷體" w:hAnsi="標楷體"/>
                <w:bCs/>
                <w:szCs w:val="24"/>
              </w:rPr>
            </w:pPr>
            <w:r w:rsidRPr="00677B2E">
              <w:rPr>
                <w:rFonts w:ascii="標楷體" w:eastAsia="標楷體" w:hAnsi="標楷體" w:hint="eastAsia"/>
                <w:bCs/>
                <w:szCs w:val="24"/>
              </w:rPr>
              <w:t>委託人採非當面方式申請以其本人在該證券商開設之證券集中保管帳戶內有價證券或其他商品，或以證券商名義為委託人申購之證券投資信託基金受益憑證，抵繳融券保證金或其依第五十四條規定應補繳之差額者，仍須依前條規定辦理，並須簽具非當面辦理有價證券或</w:t>
            </w:r>
            <w:r w:rsidRPr="00677B2E">
              <w:rPr>
                <w:rFonts w:ascii="標楷體" w:eastAsia="標楷體" w:hAnsi="標楷體" w:hint="eastAsia"/>
                <w:bCs/>
                <w:szCs w:val="24"/>
              </w:rPr>
              <w:lastRenderedPageBreak/>
              <w:t>其他商品抵繳同意書</w:t>
            </w:r>
            <w:r w:rsidRPr="00107A2E">
              <w:rPr>
                <w:rFonts w:ascii="標楷體" w:eastAsia="標楷體" w:hAnsi="標楷體" w:hint="eastAsia"/>
                <w:bCs/>
                <w:szCs w:val="24"/>
              </w:rPr>
              <w:t>，經證券商確認並留存紀錄。</w:t>
            </w:r>
          </w:p>
          <w:p w14:paraId="3594F79C" w14:textId="77777777" w:rsidR="00446EB7" w:rsidRPr="00446EB7" w:rsidRDefault="00677B2E" w:rsidP="002A590A">
            <w:pPr>
              <w:spacing w:line="360" w:lineRule="exact"/>
              <w:ind w:firstLine="480"/>
              <w:jc w:val="both"/>
              <w:rPr>
                <w:rFonts w:ascii="標楷體" w:eastAsia="標楷體" w:hAnsi="標楷體"/>
                <w:bCs/>
                <w:szCs w:val="24"/>
              </w:rPr>
            </w:pPr>
            <w:r w:rsidRPr="00677B2E">
              <w:rPr>
                <w:rFonts w:ascii="標楷體" w:eastAsia="標楷體" w:hAnsi="標楷體" w:hint="eastAsia"/>
                <w:bCs/>
                <w:szCs w:val="24"/>
              </w:rPr>
              <w:t>前項委託人以電話申請抵繳者，證券商應確認本人身分並同步錄音</w:t>
            </w:r>
            <w:r w:rsidR="00117317" w:rsidRPr="00107A2E">
              <w:rPr>
                <w:rFonts w:ascii="標楷體" w:eastAsia="標楷體" w:hAnsi="標楷體" w:hint="eastAsia"/>
                <w:bCs/>
                <w:color w:val="FF0000"/>
                <w:szCs w:val="24"/>
                <w:u w:val="single"/>
              </w:rPr>
              <w:t>；以</w:t>
            </w:r>
            <w:r w:rsidR="002A590A">
              <w:rPr>
                <w:rFonts w:ascii="標楷體" w:eastAsia="標楷體" w:hAnsi="標楷體" w:hint="eastAsia"/>
                <w:bCs/>
                <w:color w:val="FF0000"/>
                <w:szCs w:val="24"/>
                <w:u w:val="single"/>
              </w:rPr>
              <w:t>通信或</w:t>
            </w:r>
            <w:r w:rsidR="00117317" w:rsidRPr="00107A2E">
              <w:rPr>
                <w:rFonts w:ascii="標楷體" w:eastAsia="標楷體" w:hAnsi="標楷體" w:hint="eastAsia"/>
                <w:bCs/>
                <w:color w:val="FF0000"/>
                <w:szCs w:val="24"/>
                <w:u w:val="single"/>
              </w:rPr>
              <w:t>電子化方式申請者</w:t>
            </w:r>
            <w:r w:rsidRPr="00107A2E">
              <w:rPr>
                <w:rFonts w:ascii="標楷體" w:eastAsia="標楷體" w:hAnsi="標楷體" w:hint="eastAsia"/>
                <w:bCs/>
                <w:color w:val="FF0000"/>
                <w:szCs w:val="24"/>
                <w:u w:val="single"/>
              </w:rPr>
              <w:t>，</w:t>
            </w:r>
            <w:r w:rsidR="00117317" w:rsidRPr="00107A2E">
              <w:rPr>
                <w:rFonts w:ascii="標楷體" w:eastAsia="標楷體" w:hAnsi="標楷體" w:hint="eastAsia"/>
                <w:bCs/>
                <w:color w:val="FF0000"/>
                <w:szCs w:val="24"/>
                <w:u w:val="single"/>
              </w:rPr>
              <w:t>證券商應確認</w:t>
            </w:r>
            <w:r w:rsidR="002A590A" w:rsidRPr="00107A2E">
              <w:rPr>
                <w:rFonts w:ascii="標楷體" w:eastAsia="標楷體" w:hAnsi="標楷體" w:hint="eastAsia"/>
                <w:bCs/>
                <w:color w:val="FF0000"/>
                <w:szCs w:val="24"/>
                <w:u w:val="single"/>
              </w:rPr>
              <w:t>本人</w:t>
            </w:r>
            <w:r w:rsidR="002A590A">
              <w:rPr>
                <w:rFonts w:ascii="標楷體" w:eastAsia="標楷體" w:hAnsi="標楷體" w:hint="eastAsia"/>
                <w:bCs/>
                <w:color w:val="FF0000"/>
                <w:szCs w:val="24"/>
                <w:u w:val="single"/>
              </w:rPr>
              <w:t>身分及其</w:t>
            </w:r>
            <w:r w:rsidR="00117317" w:rsidRPr="00107A2E">
              <w:rPr>
                <w:rFonts w:ascii="標楷體" w:eastAsia="標楷體" w:hAnsi="標楷體" w:hint="eastAsia"/>
                <w:bCs/>
                <w:color w:val="FF0000"/>
                <w:szCs w:val="24"/>
                <w:u w:val="single"/>
              </w:rPr>
              <w:t>意思表示並留存</w:t>
            </w:r>
            <w:r w:rsidR="005D5F94">
              <w:rPr>
                <w:rFonts w:ascii="標楷體" w:eastAsia="標楷體" w:hAnsi="標楷體" w:hint="eastAsia"/>
                <w:bCs/>
                <w:color w:val="FF0000"/>
                <w:szCs w:val="24"/>
                <w:u w:val="single"/>
              </w:rPr>
              <w:t>相關</w:t>
            </w:r>
            <w:r w:rsidR="00117317" w:rsidRPr="00107A2E">
              <w:rPr>
                <w:rFonts w:ascii="標楷體" w:eastAsia="標楷體" w:hAnsi="標楷體" w:hint="eastAsia"/>
                <w:bCs/>
                <w:color w:val="FF0000"/>
                <w:szCs w:val="24"/>
                <w:u w:val="single"/>
              </w:rPr>
              <w:t>紀錄</w:t>
            </w:r>
            <w:r w:rsidR="005D5F94">
              <w:rPr>
                <w:rFonts w:ascii="標楷體" w:eastAsia="標楷體" w:hAnsi="標楷體" w:hint="eastAsia"/>
                <w:bCs/>
                <w:color w:val="FF0000"/>
                <w:szCs w:val="24"/>
                <w:u w:val="single"/>
              </w:rPr>
              <w:t>。</w:t>
            </w:r>
            <w:r w:rsidR="00117317" w:rsidRPr="002A590A">
              <w:rPr>
                <w:rFonts w:ascii="標楷體" w:eastAsia="標楷體" w:hAnsi="標楷體" w:hint="eastAsia"/>
                <w:bCs/>
                <w:color w:val="000000" w:themeColor="text1"/>
                <w:szCs w:val="24"/>
              </w:rPr>
              <w:t>電話</w:t>
            </w:r>
            <w:r w:rsidR="005D5F94">
              <w:rPr>
                <w:rFonts w:ascii="標楷體" w:eastAsia="標楷體" w:hAnsi="標楷體" w:hint="eastAsia"/>
                <w:bCs/>
                <w:color w:val="FF0000"/>
                <w:szCs w:val="24"/>
                <w:u w:val="single"/>
              </w:rPr>
              <w:t>及</w:t>
            </w:r>
            <w:r w:rsidR="00117317" w:rsidRPr="00107A2E">
              <w:rPr>
                <w:rFonts w:ascii="標楷體" w:eastAsia="標楷體" w:hAnsi="標楷體" w:hint="eastAsia"/>
                <w:bCs/>
                <w:color w:val="FF0000"/>
                <w:szCs w:val="24"/>
                <w:u w:val="single"/>
              </w:rPr>
              <w:t>通信之</w:t>
            </w:r>
            <w:r w:rsidR="00117317" w:rsidRPr="00123863">
              <w:rPr>
                <w:rFonts w:ascii="標楷體" w:eastAsia="標楷體" w:hAnsi="標楷體" w:hint="eastAsia"/>
                <w:bCs/>
                <w:color w:val="000000" w:themeColor="text1"/>
                <w:szCs w:val="24"/>
              </w:rPr>
              <w:t>紀錄應置於營業處所</w:t>
            </w:r>
            <w:r w:rsidR="00117317" w:rsidRPr="00123863">
              <w:rPr>
                <w:rFonts w:ascii="標楷體" w:eastAsia="標楷體" w:hAnsi="標楷體" w:hint="eastAsia"/>
                <w:bCs/>
                <w:color w:val="FF0000"/>
                <w:szCs w:val="24"/>
                <w:u w:val="single"/>
              </w:rPr>
              <w:t>，</w:t>
            </w:r>
            <w:r w:rsidR="00117317" w:rsidRPr="00107A2E">
              <w:rPr>
                <w:rFonts w:ascii="標楷體" w:eastAsia="標楷體" w:hAnsi="標楷體" w:hint="eastAsia"/>
                <w:bCs/>
                <w:color w:val="FF0000"/>
                <w:szCs w:val="24"/>
                <w:u w:val="single"/>
              </w:rPr>
              <w:t>電子化方式之紀錄應可隨時將儲存</w:t>
            </w:r>
            <w:r w:rsidR="005D5F94">
              <w:rPr>
                <w:rFonts w:ascii="標楷體" w:eastAsia="標楷體" w:hAnsi="標楷體" w:hint="eastAsia"/>
                <w:bCs/>
                <w:color w:val="FF0000"/>
                <w:szCs w:val="24"/>
                <w:u w:val="single"/>
              </w:rPr>
              <w:t>於</w:t>
            </w:r>
            <w:r w:rsidR="00117317" w:rsidRPr="00107A2E">
              <w:rPr>
                <w:rFonts w:ascii="標楷體" w:eastAsia="標楷體" w:hAnsi="標楷體" w:hint="eastAsia"/>
                <w:bCs/>
                <w:color w:val="FF0000"/>
                <w:szCs w:val="24"/>
                <w:u w:val="single"/>
              </w:rPr>
              <w:t>電子媒體資料轉換</w:t>
            </w:r>
            <w:r w:rsidR="005D5F94">
              <w:rPr>
                <w:rFonts w:ascii="標楷體" w:eastAsia="標楷體" w:hAnsi="標楷體" w:hint="eastAsia"/>
                <w:bCs/>
                <w:color w:val="FF0000"/>
                <w:szCs w:val="24"/>
                <w:u w:val="single"/>
              </w:rPr>
              <w:t>為</w:t>
            </w:r>
            <w:r w:rsidR="00117317" w:rsidRPr="00107A2E">
              <w:rPr>
                <w:rFonts w:ascii="標楷體" w:eastAsia="標楷體" w:hAnsi="標楷體" w:hint="eastAsia"/>
                <w:bCs/>
                <w:color w:val="FF0000"/>
                <w:szCs w:val="24"/>
                <w:u w:val="single"/>
              </w:rPr>
              <w:t>書面</w:t>
            </w:r>
            <w:r w:rsidR="005D5F94">
              <w:rPr>
                <w:rFonts w:ascii="標楷體" w:eastAsia="標楷體" w:hAnsi="標楷體" w:hint="eastAsia"/>
                <w:bCs/>
                <w:color w:val="FF0000"/>
                <w:szCs w:val="24"/>
                <w:u w:val="single"/>
              </w:rPr>
              <w:t>。前述</w:t>
            </w:r>
            <w:r w:rsidR="00123863">
              <w:rPr>
                <w:rFonts w:ascii="標楷體" w:eastAsia="標楷體" w:hAnsi="標楷體" w:hint="eastAsia"/>
                <w:bCs/>
                <w:color w:val="FF0000"/>
                <w:szCs w:val="24"/>
                <w:u w:val="single"/>
              </w:rPr>
              <w:t>紀錄</w:t>
            </w:r>
            <w:r w:rsidR="005D5F94">
              <w:rPr>
                <w:rFonts w:ascii="標楷體" w:eastAsia="標楷體" w:hAnsi="標楷體" w:hint="eastAsia"/>
                <w:bCs/>
                <w:color w:val="FF0000"/>
                <w:szCs w:val="24"/>
                <w:u w:val="single"/>
              </w:rPr>
              <w:t>應</w:t>
            </w:r>
            <w:r w:rsidRPr="00677B2E">
              <w:rPr>
                <w:rFonts w:ascii="標楷體" w:eastAsia="標楷體" w:hAnsi="標楷體" w:hint="eastAsia"/>
                <w:bCs/>
                <w:szCs w:val="24"/>
              </w:rPr>
              <w:t>至少保存一年，有爭議者應保存至爭議消除為止。</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BE939" w14:textId="77777777" w:rsidR="00446EB7" w:rsidRDefault="00446EB7" w:rsidP="00446EB7">
            <w:pPr>
              <w:spacing w:line="360" w:lineRule="exact"/>
              <w:ind w:left="240" w:hanging="240"/>
              <w:jc w:val="both"/>
              <w:rPr>
                <w:rFonts w:ascii="標楷體" w:eastAsia="標楷體" w:hAnsi="標楷體"/>
                <w:bCs/>
                <w:szCs w:val="24"/>
              </w:rPr>
            </w:pPr>
            <w:r>
              <w:rPr>
                <w:rFonts w:ascii="標楷體" w:eastAsia="標楷體" w:hAnsi="標楷體"/>
                <w:bCs/>
                <w:szCs w:val="24"/>
              </w:rPr>
              <w:lastRenderedPageBreak/>
              <w:t>第五十</w:t>
            </w:r>
            <w:r w:rsidR="0041218D">
              <w:rPr>
                <w:rFonts w:ascii="標楷體" w:eastAsia="標楷體" w:hAnsi="標楷體" w:hint="eastAsia"/>
                <w:bCs/>
                <w:szCs w:val="24"/>
              </w:rPr>
              <w:t>八</w:t>
            </w:r>
            <w:r>
              <w:rPr>
                <w:rFonts w:ascii="標楷體" w:eastAsia="標楷體" w:hAnsi="標楷體"/>
                <w:bCs/>
                <w:szCs w:val="24"/>
              </w:rPr>
              <w:t>條</w:t>
            </w:r>
          </w:p>
          <w:p w14:paraId="2B5F0979" w14:textId="77777777" w:rsidR="00446EB7" w:rsidRDefault="00677B2E" w:rsidP="00446EB7">
            <w:pPr>
              <w:spacing w:line="360" w:lineRule="exact"/>
              <w:ind w:firstLine="480"/>
              <w:jc w:val="both"/>
              <w:rPr>
                <w:rFonts w:ascii="標楷體" w:eastAsia="標楷體" w:hAnsi="標楷體"/>
                <w:bCs/>
                <w:szCs w:val="24"/>
              </w:rPr>
            </w:pPr>
            <w:r w:rsidRPr="00677B2E">
              <w:rPr>
                <w:rFonts w:ascii="標楷體" w:eastAsia="標楷體" w:hAnsi="標楷體" w:hint="eastAsia"/>
                <w:bCs/>
                <w:szCs w:val="24"/>
              </w:rPr>
              <w:t>委託人採非當面方式申請以其本人在該證券商開設之證券集中保管帳戶內有價證券或其他商品，或以證券商名義為委託人申購之證券投資信託基金受益憑證，抵繳融券保證金或其依第五十四條規定應補繳之差額者，仍須依前條規定辦理，並須簽具非當面辦理有價證券或</w:t>
            </w:r>
            <w:r w:rsidRPr="00677B2E">
              <w:rPr>
                <w:rFonts w:ascii="標楷體" w:eastAsia="標楷體" w:hAnsi="標楷體" w:hint="eastAsia"/>
                <w:bCs/>
                <w:szCs w:val="24"/>
              </w:rPr>
              <w:lastRenderedPageBreak/>
              <w:t>其他商品抵繳同意書</w:t>
            </w:r>
            <w:r w:rsidRPr="002A590A">
              <w:rPr>
                <w:rFonts w:ascii="標楷體" w:eastAsia="標楷體" w:hAnsi="標楷體" w:hint="eastAsia"/>
                <w:bCs/>
                <w:szCs w:val="24"/>
              </w:rPr>
              <w:t>，經證券商確認並留存紀錄。</w:t>
            </w:r>
          </w:p>
          <w:p w14:paraId="77FB31A8" w14:textId="77777777" w:rsidR="00446EB7" w:rsidRPr="00446EB7" w:rsidRDefault="00677B2E" w:rsidP="00677B2E">
            <w:pPr>
              <w:spacing w:line="360" w:lineRule="exact"/>
              <w:ind w:firstLine="480"/>
              <w:jc w:val="both"/>
              <w:rPr>
                <w:rFonts w:ascii="標楷體" w:eastAsia="標楷體" w:hAnsi="標楷體"/>
                <w:bCs/>
                <w:szCs w:val="24"/>
              </w:rPr>
            </w:pPr>
            <w:r w:rsidRPr="00677B2E">
              <w:rPr>
                <w:rFonts w:ascii="標楷體" w:eastAsia="標楷體" w:hAnsi="標楷體" w:hint="eastAsia"/>
                <w:bCs/>
                <w:szCs w:val="24"/>
              </w:rPr>
              <w:t>前項委託人以電話申請抵繳者，證券商應確認本人身分並同步錄音，電話</w:t>
            </w:r>
            <w:r w:rsidRPr="00123863">
              <w:rPr>
                <w:rFonts w:ascii="標楷體" w:eastAsia="標楷體" w:hAnsi="標楷體" w:hint="eastAsia"/>
                <w:bCs/>
                <w:color w:val="FF0000"/>
                <w:szCs w:val="24"/>
                <w:u w:val="single"/>
              </w:rPr>
              <w:t>錄音</w:t>
            </w:r>
            <w:r w:rsidRPr="00677B2E">
              <w:rPr>
                <w:rFonts w:ascii="標楷體" w:eastAsia="標楷體" w:hAnsi="標楷體" w:hint="eastAsia"/>
                <w:bCs/>
                <w:szCs w:val="24"/>
              </w:rPr>
              <w:t>紀錄應置於營業處所，</w:t>
            </w:r>
            <w:r w:rsidRPr="00123863">
              <w:rPr>
                <w:rFonts w:ascii="標楷體" w:eastAsia="標楷體" w:hAnsi="標楷體" w:hint="eastAsia"/>
                <w:bCs/>
                <w:color w:val="FF0000"/>
                <w:szCs w:val="24"/>
                <w:u w:val="single"/>
              </w:rPr>
              <w:t>並</w:t>
            </w:r>
            <w:r w:rsidRPr="00677B2E">
              <w:rPr>
                <w:rFonts w:ascii="標楷體" w:eastAsia="標楷體" w:hAnsi="標楷體" w:hint="eastAsia"/>
                <w:bCs/>
                <w:szCs w:val="24"/>
              </w:rPr>
              <w:t>至少保存一年，有爭議者應保存至爭議消除為止。</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CFDE7" w14:textId="77777777" w:rsidR="00446EB7" w:rsidRPr="001F7D72" w:rsidRDefault="001F7D72" w:rsidP="00B034CD">
            <w:pPr>
              <w:pStyle w:val="a7"/>
              <w:spacing w:line="360" w:lineRule="exact"/>
              <w:ind w:left="0"/>
              <w:jc w:val="both"/>
              <w:rPr>
                <w:rFonts w:ascii="標楷體" w:eastAsia="標楷體" w:hAnsi="標楷體"/>
                <w:szCs w:val="24"/>
              </w:rPr>
            </w:pPr>
            <w:r w:rsidRPr="001F7D72">
              <w:rPr>
                <w:rFonts w:ascii="Times New Roman" w:eastAsia="標楷體" w:hAnsi="Times New Roman" w:hint="eastAsia"/>
              </w:rPr>
              <w:lastRenderedPageBreak/>
              <w:t>因應數位化發展之實務需求，為便利</w:t>
            </w:r>
            <w:r w:rsidR="00DF50FE">
              <w:rPr>
                <w:rFonts w:ascii="Times New Roman" w:eastAsia="標楷體" w:hAnsi="Times New Roman" w:hint="eastAsia"/>
              </w:rPr>
              <w:t>抵繳申</w:t>
            </w:r>
            <w:r w:rsidRPr="001F7D72">
              <w:rPr>
                <w:rFonts w:ascii="Times New Roman" w:eastAsia="標楷體" w:hAnsi="Times New Roman" w:hint="eastAsia"/>
              </w:rPr>
              <w:t>請作業，並確保申請作業之完整性及安全性</w:t>
            </w:r>
            <w:r w:rsidR="00BB3605" w:rsidRPr="00B034CD">
              <w:rPr>
                <w:rFonts w:ascii="標楷體" w:eastAsia="標楷體" w:hAnsi="標楷體" w:hint="eastAsia"/>
                <w:szCs w:val="24"/>
              </w:rPr>
              <w:t>，</w:t>
            </w:r>
            <w:r w:rsidR="00ED2CAB">
              <w:rPr>
                <w:rFonts w:ascii="標楷體" w:eastAsia="標楷體" w:hAnsi="標楷體" w:hint="eastAsia"/>
                <w:szCs w:val="24"/>
              </w:rPr>
              <w:t>參酌第六十四條</w:t>
            </w:r>
            <w:r w:rsidR="00B034CD" w:rsidRPr="00B034CD">
              <w:rPr>
                <w:rFonts w:ascii="標楷體" w:eastAsia="標楷體" w:hAnsi="標楷體" w:hint="eastAsia"/>
                <w:szCs w:val="24"/>
              </w:rPr>
              <w:t>規定</w:t>
            </w:r>
            <w:r w:rsidR="00BB3605" w:rsidRPr="00BB3605">
              <w:rPr>
                <w:rFonts w:ascii="標楷體" w:eastAsia="標楷體" w:hAnsi="標楷體" w:hint="eastAsia"/>
                <w:szCs w:val="24"/>
              </w:rPr>
              <w:t>，</w:t>
            </w:r>
            <w:r>
              <w:rPr>
                <w:rFonts w:ascii="標楷體" w:eastAsia="標楷體" w:hAnsi="標楷體" w:hint="eastAsia"/>
                <w:szCs w:val="24"/>
              </w:rPr>
              <w:t>增訂</w:t>
            </w:r>
            <w:r w:rsidR="00ED2CAB">
              <w:rPr>
                <w:rFonts w:ascii="標楷體" w:eastAsia="標楷體" w:hAnsi="標楷體" w:hint="eastAsia"/>
                <w:szCs w:val="24"/>
              </w:rPr>
              <w:t>委託人</w:t>
            </w:r>
            <w:r w:rsidR="00BB3605" w:rsidRPr="00BB3605">
              <w:rPr>
                <w:rFonts w:ascii="標楷體" w:eastAsia="標楷體" w:hAnsi="標楷體" w:hint="eastAsia"/>
                <w:szCs w:val="24"/>
              </w:rPr>
              <w:t>得以</w:t>
            </w:r>
            <w:r w:rsidR="00ED2CAB">
              <w:rPr>
                <w:rFonts w:ascii="標楷體" w:eastAsia="標楷體" w:hAnsi="標楷體" w:hint="eastAsia"/>
                <w:szCs w:val="24"/>
              </w:rPr>
              <w:t>通信</w:t>
            </w:r>
            <w:r w:rsidR="00BB3605" w:rsidRPr="00BB3605">
              <w:rPr>
                <w:rFonts w:ascii="標楷體" w:eastAsia="標楷體" w:hAnsi="標楷體" w:hint="eastAsia"/>
                <w:szCs w:val="24"/>
              </w:rPr>
              <w:t>及</w:t>
            </w:r>
            <w:r w:rsidR="00ED2CAB">
              <w:rPr>
                <w:rFonts w:ascii="標楷體" w:eastAsia="標楷體" w:hAnsi="標楷體" w:hint="eastAsia"/>
                <w:szCs w:val="24"/>
              </w:rPr>
              <w:t>電子化</w:t>
            </w:r>
            <w:r>
              <w:rPr>
                <w:rFonts w:ascii="標楷體" w:eastAsia="標楷體" w:hAnsi="標楷體" w:hint="eastAsia"/>
                <w:szCs w:val="24"/>
              </w:rPr>
              <w:t>等</w:t>
            </w:r>
            <w:r w:rsidR="00B13C03" w:rsidRPr="001F7D72">
              <w:rPr>
                <w:rFonts w:ascii="標楷體" w:eastAsia="標楷體" w:hAnsi="標楷體" w:hint="eastAsia"/>
                <w:szCs w:val="24"/>
              </w:rPr>
              <w:t>非當面</w:t>
            </w:r>
            <w:r w:rsidRPr="001F7D72">
              <w:rPr>
                <w:rFonts w:ascii="標楷體" w:eastAsia="標楷體" w:hAnsi="標楷體" w:hint="eastAsia"/>
                <w:szCs w:val="24"/>
              </w:rPr>
              <w:t>方式申請</w:t>
            </w:r>
            <w:r w:rsidR="00ED2CAB" w:rsidRPr="001F7D72">
              <w:rPr>
                <w:rFonts w:ascii="標楷體" w:eastAsia="標楷體" w:hAnsi="標楷體" w:hint="eastAsia"/>
                <w:szCs w:val="24"/>
              </w:rPr>
              <w:t>抵繳</w:t>
            </w:r>
            <w:r w:rsidR="00DF50FE">
              <w:rPr>
                <w:rFonts w:ascii="標楷體" w:eastAsia="標楷體" w:hAnsi="標楷體" w:hint="eastAsia"/>
                <w:szCs w:val="24"/>
              </w:rPr>
              <w:t>之規範</w:t>
            </w:r>
            <w:r w:rsidR="006F40CA">
              <w:rPr>
                <w:rFonts w:ascii="標楷體" w:eastAsia="標楷體" w:hAnsi="標楷體" w:hint="eastAsia"/>
                <w:szCs w:val="24"/>
              </w:rPr>
              <w:t>，爰修正第二項</w:t>
            </w:r>
            <w:r w:rsidR="00446EB7" w:rsidRPr="001F7D72">
              <w:rPr>
                <w:rFonts w:ascii="標楷體" w:eastAsia="標楷體" w:hAnsi="標楷體"/>
                <w:szCs w:val="24"/>
              </w:rPr>
              <w:t>。</w:t>
            </w:r>
          </w:p>
          <w:p w14:paraId="59957B21" w14:textId="77777777" w:rsidR="001F7D72" w:rsidRPr="00446EB7" w:rsidRDefault="001F7D72" w:rsidP="00B034CD">
            <w:pPr>
              <w:pStyle w:val="a7"/>
              <w:spacing w:line="360" w:lineRule="exact"/>
              <w:ind w:left="0"/>
              <w:jc w:val="both"/>
              <w:rPr>
                <w:rFonts w:ascii="Times New Roman" w:eastAsia="標楷體" w:hAnsi="Times New Roman"/>
              </w:rPr>
            </w:pPr>
          </w:p>
        </w:tc>
      </w:tr>
      <w:tr w:rsidR="00020800" w14:paraId="52A78C7D"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F3895" w14:textId="77777777" w:rsidR="00020800" w:rsidRDefault="00DC08BB">
            <w:pPr>
              <w:spacing w:line="360" w:lineRule="exact"/>
              <w:ind w:left="240" w:hanging="240"/>
              <w:jc w:val="both"/>
              <w:rPr>
                <w:rFonts w:ascii="標楷體" w:eastAsia="標楷體" w:hAnsi="標楷體"/>
                <w:bCs/>
                <w:szCs w:val="24"/>
              </w:rPr>
            </w:pPr>
            <w:r>
              <w:rPr>
                <w:rFonts w:ascii="標楷體" w:eastAsia="標楷體" w:hAnsi="標楷體"/>
                <w:bCs/>
                <w:szCs w:val="24"/>
              </w:rPr>
              <w:t>第五十九條</w:t>
            </w:r>
          </w:p>
          <w:p w14:paraId="18CA60A8"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前條抵繳有價證券或其他商品之抵繳價值依下列標準計算：</w:t>
            </w:r>
          </w:p>
          <w:p w14:paraId="26EACD2C"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一、中央登錄公債，按其面額九折計算。</w:t>
            </w:r>
          </w:p>
          <w:p w14:paraId="18CDD70C"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二、地方政府債券、公司債、金融債，按其面額七折計算。</w:t>
            </w:r>
          </w:p>
          <w:p w14:paraId="2BBF9478"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三、上市(櫃)得為融資融券有價證券，按其抵繳當日開盤競價基準或開始交易基準價七折計算。</w:t>
            </w:r>
          </w:p>
          <w:p w14:paraId="6FAF8067"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四、有未依有價證券得為融資融券標準第二條、第三條規定取得融資融券交易資格者或經同標準第四條、第五條規定暫停融資融券交易資格者，按其抵繳當日開盤競價基準或開始交易基準價五折計算。</w:t>
            </w:r>
          </w:p>
          <w:p w14:paraId="3ADDF431" w14:textId="77777777" w:rsidR="00020800" w:rsidRDefault="00DC08BB">
            <w:pPr>
              <w:spacing w:line="360" w:lineRule="exact"/>
              <w:ind w:left="480" w:hanging="480"/>
              <w:jc w:val="both"/>
              <w:rPr>
                <w:rFonts w:ascii="標楷體" w:eastAsia="標楷體" w:hAnsi="標楷體"/>
                <w:bCs/>
                <w:color w:val="FF0000"/>
                <w:szCs w:val="24"/>
                <w:u w:val="single"/>
              </w:rPr>
            </w:pPr>
            <w:r>
              <w:rPr>
                <w:rFonts w:ascii="標楷體" w:eastAsia="標楷體" w:hAnsi="標楷體"/>
                <w:bCs/>
                <w:color w:val="FF0000"/>
                <w:szCs w:val="24"/>
                <w:u w:val="single"/>
              </w:rPr>
              <w:t>五、興櫃股票，按其抵繳當日前一營業日加權平均</w:t>
            </w:r>
            <w:r>
              <w:rPr>
                <w:rFonts w:ascii="標楷體" w:eastAsia="標楷體" w:hAnsi="標楷體"/>
                <w:bCs/>
                <w:color w:val="FF0000"/>
                <w:szCs w:val="24"/>
                <w:u w:val="single"/>
              </w:rPr>
              <w:lastRenderedPageBreak/>
              <w:t>成交價四折計算。如前一營業日無成交紀錄，則以交易時間終了時全體推薦證券商間最高買進報價及最低賣出報價之均價四折計算。</w:t>
            </w:r>
          </w:p>
          <w:p w14:paraId="6FEDD08B" w14:textId="77777777" w:rsidR="00020800" w:rsidRDefault="00DC08BB">
            <w:pPr>
              <w:spacing w:line="360" w:lineRule="exact"/>
              <w:ind w:left="480" w:hanging="480"/>
              <w:jc w:val="both"/>
            </w:pPr>
            <w:r>
              <w:rPr>
                <w:rFonts w:ascii="標楷體" w:eastAsia="標楷體" w:hAnsi="標楷體"/>
                <w:bCs/>
                <w:color w:val="FF0000"/>
                <w:szCs w:val="24"/>
                <w:u w:val="single"/>
              </w:rPr>
              <w:t>六</w:t>
            </w:r>
            <w:r>
              <w:rPr>
                <w:rFonts w:ascii="標楷體" w:eastAsia="標楷體" w:hAnsi="標楷體"/>
                <w:bCs/>
                <w:szCs w:val="24"/>
              </w:rPr>
              <w:t>、登錄為櫃檯買賣之黃金現貨，按其抵繳當日前一營業日收市均價七折計算。</w:t>
            </w:r>
          </w:p>
          <w:p w14:paraId="11664F0C" w14:textId="77777777" w:rsidR="00020800" w:rsidRDefault="00DC08BB">
            <w:pPr>
              <w:spacing w:line="360" w:lineRule="exact"/>
              <w:ind w:left="480" w:hanging="480"/>
              <w:jc w:val="both"/>
            </w:pPr>
            <w:r>
              <w:rPr>
                <w:rFonts w:ascii="標楷體" w:eastAsia="標楷體" w:hAnsi="標楷體"/>
                <w:bCs/>
                <w:color w:val="FF0000"/>
                <w:szCs w:val="24"/>
                <w:u w:val="single"/>
              </w:rPr>
              <w:t>七</w:t>
            </w:r>
            <w:r>
              <w:rPr>
                <w:rFonts w:ascii="標楷體" w:eastAsia="標楷體" w:hAnsi="標楷體"/>
                <w:bCs/>
                <w:szCs w:val="24"/>
              </w:rPr>
              <w:t>、開放式證券投資信託基金受益憑證及期貨信託基金受益憑證，按其抵繳當日前一營業日每受益權單位淨資產價值七折計算。</w:t>
            </w:r>
          </w:p>
          <w:p w14:paraId="1CF33E3A"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前項開盤競價基準或開始交易基準價，適用第五十四條第六項規定。</w:t>
            </w:r>
          </w:p>
          <w:p w14:paraId="3AA6F9C2"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證券商計算委託人整戶擔保維持率時，就抵繳有價證券或其他商品之價值免折價計算。</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85447" w14:textId="77777777" w:rsidR="00020800" w:rsidRDefault="00DC08BB">
            <w:pPr>
              <w:spacing w:line="360" w:lineRule="exact"/>
              <w:ind w:left="240" w:hanging="240"/>
              <w:jc w:val="both"/>
              <w:rPr>
                <w:rFonts w:ascii="標楷體" w:eastAsia="標楷體" w:hAnsi="標楷體"/>
                <w:bCs/>
                <w:szCs w:val="24"/>
              </w:rPr>
            </w:pPr>
            <w:r>
              <w:rPr>
                <w:rFonts w:ascii="標楷體" w:eastAsia="標楷體" w:hAnsi="標楷體"/>
                <w:bCs/>
                <w:szCs w:val="24"/>
              </w:rPr>
              <w:lastRenderedPageBreak/>
              <w:t>第五十九條</w:t>
            </w:r>
          </w:p>
          <w:p w14:paraId="4A56089A"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前條抵繳有價證券或其他商品之抵繳價值依下列標準計算：</w:t>
            </w:r>
          </w:p>
          <w:p w14:paraId="6194C97F"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一、中央登錄公債，按其面額九折計算。</w:t>
            </w:r>
          </w:p>
          <w:p w14:paraId="2402E6E7"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二、地方政府債券、公司債、金融債，按其面額七折計算。</w:t>
            </w:r>
          </w:p>
          <w:p w14:paraId="1E60F6A0"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三、上市(櫃)得為融資融券有價證券，按其抵繳當日開盤競價基準或開始交易基準價七折計算。</w:t>
            </w:r>
          </w:p>
          <w:p w14:paraId="08E20F47"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四、有未依有價證券得為融資融券標準第二條、第三條規定取得融資融券交易資格者或經同標準第四條、第五條規定暫停融資融券交易資格者，按其抵繳當日開盤競價基準或開始交易基準價五折計算。</w:t>
            </w:r>
          </w:p>
          <w:p w14:paraId="6370BE47" w14:textId="77777777" w:rsidR="00020800" w:rsidRDefault="00020800">
            <w:pPr>
              <w:spacing w:line="360" w:lineRule="exact"/>
              <w:ind w:left="480" w:hanging="480"/>
              <w:jc w:val="both"/>
              <w:rPr>
                <w:rFonts w:ascii="標楷體" w:eastAsia="標楷體" w:hAnsi="標楷體"/>
                <w:bCs/>
                <w:szCs w:val="24"/>
              </w:rPr>
            </w:pPr>
          </w:p>
          <w:p w14:paraId="77409F6D" w14:textId="77777777" w:rsidR="00020800" w:rsidRDefault="00020800">
            <w:pPr>
              <w:spacing w:line="360" w:lineRule="exact"/>
              <w:ind w:left="480" w:hanging="480"/>
              <w:jc w:val="both"/>
              <w:rPr>
                <w:rFonts w:ascii="標楷體" w:eastAsia="標楷體" w:hAnsi="標楷體"/>
                <w:bCs/>
                <w:szCs w:val="24"/>
              </w:rPr>
            </w:pPr>
          </w:p>
          <w:p w14:paraId="05311F8C" w14:textId="77777777" w:rsidR="00020800" w:rsidRDefault="00020800">
            <w:pPr>
              <w:spacing w:line="360" w:lineRule="exact"/>
              <w:ind w:left="480" w:hanging="480"/>
              <w:jc w:val="both"/>
              <w:rPr>
                <w:rFonts w:ascii="標楷體" w:eastAsia="標楷體" w:hAnsi="標楷體"/>
                <w:bCs/>
                <w:szCs w:val="24"/>
              </w:rPr>
            </w:pPr>
          </w:p>
          <w:p w14:paraId="4893F694" w14:textId="77777777" w:rsidR="00020800" w:rsidRDefault="00020800">
            <w:pPr>
              <w:spacing w:line="360" w:lineRule="exact"/>
              <w:ind w:left="480" w:hanging="480"/>
              <w:jc w:val="both"/>
              <w:rPr>
                <w:rFonts w:ascii="標楷體" w:eastAsia="標楷體" w:hAnsi="標楷體"/>
                <w:bCs/>
                <w:szCs w:val="24"/>
              </w:rPr>
            </w:pPr>
          </w:p>
          <w:p w14:paraId="6F6778DC" w14:textId="77777777" w:rsidR="00020800" w:rsidRDefault="00020800">
            <w:pPr>
              <w:spacing w:line="360" w:lineRule="exact"/>
              <w:ind w:left="480" w:hanging="480"/>
              <w:jc w:val="both"/>
              <w:rPr>
                <w:rFonts w:ascii="標楷體" w:eastAsia="標楷體" w:hAnsi="標楷體"/>
                <w:bCs/>
                <w:szCs w:val="24"/>
              </w:rPr>
            </w:pPr>
          </w:p>
          <w:p w14:paraId="6F947BBE" w14:textId="77777777" w:rsidR="00020800" w:rsidRDefault="00020800">
            <w:pPr>
              <w:spacing w:line="360" w:lineRule="exact"/>
              <w:ind w:left="480" w:hanging="480"/>
              <w:jc w:val="both"/>
              <w:rPr>
                <w:rFonts w:ascii="標楷體" w:eastAsia="標楷體" w:hAnsi="標楷體"/>
                <w:bCs/>
                <w:szCs w:val="24"/>
              </w:rPr>
            </w:pPr>
          </w:p>
          <w:p w14:paraId="2E5C108D" w14:textId="77777777" w:rsidR="00020800" w:rsidRDefault="00020800">
            <w:pPr>
              <w:spacing w:line="360" w:lineRule="exact"/>
              <w:ind w:left="480" w:hanging="480"/>
              <w:jc w:val="both"/>
              <w:rPr>
                <w:rFonts w:ascii="標楷體" w:eastAsia="標楷體" w:hAnsi="標楷體"/>
                <w:bCs/>
                <w:szCs w:val="24"/>
              </w:rPr>
            </w:pPr>
          </w:p>
          <w:p w14:paraId="1CF3B3B0" w14:textId="77777777" w:rsidR="00020800" w:rsidRDefault="00020800">
            <w:pPr>
              <w:spacing w:line="360" w:lineRule="exact"/>
              <w:ind w:left="480" w:hanging="480"/>
              <w:jc w:val="both"/>
              <w:rPr>
                <w:rFonts w:ascii="標楷體" w:eastAsia="標楷體" w:hAnsi="標楷體"/>
                <w:bCs/>
                <w:szCs w:val="24"/>
              </w:rPr>
            </w:pPr>
          </w:p>
          <w:p w14:paraId="4C411ED5" w14:textId="77777777" w:rsidR="00020800" w:rsidRDefault="00DC08BB">
            <w:pPr>
              <w:spacing w:line="360" w:lineRule="exact"/>
              <w:ind w:left="480" w:hanging="480"/>
              <w:jc w:val="both"/>
            </w:pPr>
            <w:r w:rsidRPr="000D0D59">
              <w:rPr>
                <w:rFonts w:ascii="標楷體" w:eastAsia="標楷體" w:hAnsi="標楷體"/>
                <w:bCs/>
                <w:szCs w:val="24"/>
              </w:rPr>
              <w:t>五</w:t>
            </w:r>
            <w:r>
              <w:rPr>
                <w:rFonts w:ascii="標楷體" w:eastAsia="標楷體" w:hAnsi="標楷體"/>
                <w:bCs/>
                <w:szCs w:val="24"/>
              </w:rPr>
              <w:t>、登錄為櫃檯買賣之黃金現貨，按其抵繳當日前一營業日收市均價七折計算。</w:t>
            </w:r>
          </w:p>
          <w:p w14:paraId="7948BE8C" w14:textId="77777777" w:rsidR="00020800" w:rsidRDefault="00DC08BB">
            <w:pPr>
              <w:spacing w:line="360" w:lineRule="exact"/>
              <w:ind w:left="480" w:hanging="480"/>
              <w:jc w:val="both"/>
            </w:pPr>
            <w:r w:rsidRPr="000D0D59">
              <w:rPr>
                <w:rFonts w:ascii="標楷體" w:eastAsia="標楷體" w:hAnsi="標楷體"/>
                <w:bCs/>
                <w:szCs w:val="24"/>
              </w:rPr>
              <w:t>六</w:t>
            </w:r>
            <w:r>
              <w:rPr>
                <w:rFonts w:ascii="標楷體" w:eastAsia="標楷體" w:hAnsi="標楷體"/>
                <w:bCs/>
                <w:szCs w:val="24"/>
              </w:rPr>
              <w:t>、開放式證券投資信託基金受益憑證及期貨信託基金受益憑證，按其抵繳當日前一營業日每受益權單位淨資產價值七折計算。</w:t>
            </w:r>
          </w:p>
          <w:p w14:paraId="76C2F3A6"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前項開盤競價基準或開始交易基準價，適用第五十四條第六項規定。</w:t>
            </w:r>
          </w:p>
          <w:p w14:paraId="300A0BA3"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證券商計算委託人整戶擔保維持率時，就抵繳有價證券或其他商品之價值免折價計算。</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D2816" w14:textId="77777777" w:rsidR="00020800" w:rsidRDefault="00DC08BB">
            <w:pPr>
              <w:pStyle w:val="a7"/>
              <w:spacing w:line="360" w:lineRule="exact"/>
              <w:ind w:left="0"/>
              <w:jc w:val="both"/>
              <w:rPr>
                <w:rFonts w:ascii="標楷體" w:eastAsia="標楷體" w:hAnsi="標楷體"/>
                <w:szCs w:val="24"/>
              </w:rPr>
            </w:pPr>
            <w:r>
              <w:rPr>
                <w:rFonts w:ascii="標楷體" w:eastAsia="標楷體" w:hAnsi="標楷體"/>
                <w:szCs w:val="24"/>
              </w:rPr>
              <w:lastRenderedPageBreak/>
              <w:t>因興櫃為報價驅動之議價交易市場，故其抵繳價值以前一營業日之加權平均成交價為計算基礎，如前一營業日無成交紀錄，則以前一營業日交易終了時全體推薦證券商間最高買進報價及最低賣出報價之均價為計算基礎；另明定興櫃股票之抵繳價值以四折計算，爰新增第一項第五款，並依序調整款次。</w:t>
            </w:r>
          </w:p>
        </w:tc>
      </w:tr>
      <w:tr w:rsidR="00020800" w14:paraId="04F6D58B"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56F9B" w14:textId="77777777" w:rsidR="00020800" w:rsidRDefault="00DC08BB">
            <w:pPr>
              <w:spacing w:line="360" w:lineRule="exact"/>
              <w:ind w:left="240" w:hanging="240"/>
              <w:jc w:val="both"/>
              <w:rPr>
                <w:rFonts w:ascii="標楷體" w:eastAsia="標楷體" w:hAnsi="標楷體"/>
                <w:bCs/>
                <w:szCs w:val="24"/>
              </w:rPr>
            </w:pPr>
            <w:r>
              <w:rPr>
                <w:rFonts w:ascii="標楷體" w:eastAsia="標楷體" w:hAnsi="標楷體"/>
                <w:bCs/>
                <w:szCs w:val="24"/>
              </w:rPr>
              <w:t>第六十條</w:t>
            </w:r>
          </w:p>
          <w:p w14:paraId="315738C5"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提供之抵繳有價證券或其他商品有下列情事之一者，證券商於依第五十三條計算擔保維持率時，應扣除該種抵繳有價證券或其他商品價值，並即通知委託人於通知送達之日起三個營業日內，以相等價值之現金或他種得為抵繳之有價證券或其他商品更換之：</w:t>
            </w:r>
          </w:p>
          <w:p w14:paraId="7A299E87"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一、有權利瑕疵或其他法律上爭議。</w:t>
            </w:r>
          </w:p>
          <w:p w14:paraId="29B398E4"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二、不符合第五十七條規定。</w:t>
            </w:r>
          </w:p>
          <w:p w14:paraId="69FD3E03"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lastRenderedPageBreak/>
              <w:t>委託人提供之抵繳有價證券或其他商品有下列情事之一者，經證券商通知後，應於下列期限內以相等價值之現金或他種得為抵繳之有價證券或其他商品更換之：</w:t>
            </w:r>
          </w:p>
          <w:p w14:paraId="3340FB77"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一、上市(櫃)有價證券、中央登錄公債、地方政府債券、公司債、金融債及櫃檯買賣黃金現貨，經證券交易所或櫃檯買賣中心核定並公告終止上市(櫃)時，證券商應通知委託人於該有價證券終止上市(櫃)前第十個營業日前更換。但上市(櫃)有價證券有第七十八條但書規定情事之一者及櫃檯買賣之開放式基金受益憑證，不在此限。</w:t>
            </w:r>
          </w:p>
          <w:p w14:paraId="5EFBE02A" w14:textId="77777777" w:rsidR="00020800" w:rsidRDefault="00DC08BB">
            <w:pPr>
              <w:spacing w:line="360" w:lineRule="exact"/>
              <w:ind w:left="480" w:hanging="480"/>
              <w:jc w:val="both"/>
              <w:rPr>
                <w:rFonts w:ascii="標楷體" w:eastAsia="標楷體" w:hAnsi="標楷體"/>
                <w:bCs/>
                <w:color w:val="FF0000"/>
                <w:szCs w:val="24"/>
                <w:u w:val="single"/>
              </w:rPr>
            </w:pPr>
            <w:r>
              <w:rPr>
                <w:rFonts w:ascii="標楷體" w:eastAsia="標楷體" w:hAnsi="標楷體"/>
                <w:bCs/>
                <w:color w:val="FF0000"/>
                <w:szCs w:val="24"/>
                <w:u w:val="single"/>
              </w:rPr>
              <w:t>二、興櫃股票經櫃檯買賣中心公告終止櫃檯買賣時，證券商應通知委託人於終止櫃檯買賣前第五個營業日前更換。但興櫃股票因轉上市(櫃)而終止櫃檯買賣者，不在此限。</w:t>
            </w:r>
          </w:p>
          <w:p w14:paraId="7FD3A696" w14:textId="77777777" w:rsidR="00020800" w:rsidRDefault="00DC08BB">
            <w:pPr>
              <w:spacing w:line="360" w:lineRule="exact"/>
              <w:ind w:left="480" w:hanging="480"/>
              <w:jc w:val="both"/>
            </w:pPr>
            <w:r>
              <w:rPr>
                <w:rFonts w:ascii="標楷體" w:eastAsia="標楷體" w:hAnsi="標楷體"/>
                <w:bCs/>
                <w:color w:val="FF0000"/>
                <w:szCs w:val="24"/>
                <w:u w:val="single"/>
              </w:rPr>
              <w:t>三</w:t>
            </w:r>
            <w:r>
              <w:rPr>
                <w:rFonts w:ascii="標楷體" w:eastAsia="標楷體" w:hAnsi="標楷體"/>
                <w:bCs/>
                <w:szCs w:val="24"/>
              </w:rPr>
              <w:t>、中央登錄公債、地方政府債券、公司債或金融債部分還本日前第十個營業日前。</w:t>
            </w:r>
          </w:p>
          <w:p w14:paraId="75AAC7F1" w14:textId="77777777" w:rsidR="00020800" w:rsidRDefault="00DC08BB">
            <w:pPr>
              <w:spacing w:line="360" w:lineRule="exact"/>
              <w:ind w:left="480" w:hanging="480"/>
              <w:jc w:val="both"/>
            </w:pPr>
            <w:r>
              <w:rPr>
                <w:rFonts w:ascii="標楷體" w:eastAsia="標楷體" w:hAnsi="標楷體"/>
                <w:bCs/>
                <w:color w:val="FF0000"/>
                <w:szCs w:val="24"/>
                <w:u w:val="single"/>
              </w:rPr>
              <w:t>四</w:t>
            </w:r>
            <w:r>
              <w:rPr>
                <w:rFonts w:ascii="標楷體" w:eastAsia="標楷體" w:hAnsi="標楷體"/>
                <w:bCs/>
                <w:szCs w:val="24"/>
              </w:rPr>
              <w:t>、開放式證券投資信託基金受益憑證及期貨信託基金受益憑證合併基準、信託契約終止或存續期屆滿前第十個營業</w:t>
            </w:r>
            <w:r>
              <w:rPr>
                <w:rFonts w:ascii="標楷體" w:eastAsia="標楷體" w:hAnsi="標楷體"/>
                <w:bCs/>
                <w:szCs w:val="24"/>
              </w:rPr>
              <w:lastRenderedPageBreak/>
              <w:t>日前。但合併後存續之開放式</w:t>
            </w:r>
            <w:r w:rsidR="0085370B" w:rsidRPr="00244095">
              <w:rPr>
                <w:rFonts w:ascii="標楷體" w:eastAsia="標楷體" w:hAnsi="標楷體" w:hint="eastAsia"/>
                <w:bCs/>
                <w:color w:val="FF0000"/>
                <w:szCs w:val="24"/>
                <w:u w:val="single"/>
              </w:rPr>
              <w:t>證券投資信託</w:t>
            </w:r>
            <w:r>
              <w:rPr>
                <w:rFonts w:ascii="標楷體" w:eastAsia="標楷體" w:hAnsi="標楷體"/>
                <w:bCs/>
                <w:szCs w:val="24"/>
              </w:rPr>
              <w:t>基金受益憑證</w:t>
            </w:r>
            <w:r w:rsidR="0085370B" w:rsidRPr="00244095">
              <w:rPr>
                <w:rFonts w:ascii="標楷體" w:eastAsia="標楷體" w:hAnsi="標楷體" w:hint="eastAsia"/>
                <w:bCs/>
                <w:color w:val="FF0000"/>
                <w:szCs w:val="24"/>
                <w:u w:val="single"/>
              </w:rPr>
              <w:t>及期貨信託基金受益憑證</w:t>
            </w:r>
            <w:r>
              <w:rPr>
                <w:rFonts w:ascii="標楷體" w:eastAsia="標楷體" w:hAnsi="標楷體"/>
                <w:bCs/>
                <w:szCs w:val="24"/>
              </w:rPr>
              <w:t>，符合第五十七條擔保品之規定者不在此限。</w:t>
            </w:r>
          </w:p>
          <w:p w14:paraId="33C567B5"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委託人提供之抵繳有價證券有停止買賣或暫停交易情事者，無須更換之。</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847AC" w14:textId="77777777" w:rsidR="00020800" w:rsidRDefault="00DC08BB">
            <w:pPr>
              <w:spacing w:line="360" w:lineRule="exact"/>
              <w:ind w:left="240" w:hanging="240"/>
              <w:jc w:val="both"/>
              <w:rPr>
                <w:rFonts w:ascii="標楷體" w:eastAsia="標楷體" w:hAnsi="標楷體"/>
                <w:bCs/>
                <w:szCs w:val="24"/>
              </w:rPr>
            </w:pPr>
            <w:r>
              <w:rPr>
                <w:rFonts w:ascii="標楷體" w:eastAsia="標楷體" w:hAnsi="標楷體"/>
                <w:bCs/>
                <w:szCs w:val="24"/>
              </w:rPr>
              <w:lastRenderedPageBreak/>
              <w:t>第六十條</w:t>
            </w:r>
          </w:p>
          <w:p w14:paraId="1F525ED0"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提供之抵繳有價證券或其他商品有下列情事之一者，證券商於依第五十三條計算擔保維持率時，應扣除該種抵繳有價證券或其他商品價值，並即通知委託人於通知送達之日起三個營業日內，以相等價值之現金或他種得為抵繳之有價證券或其他商品更換之：</w:t>
            </w:r>
          </w:p>
          <w:p w14:paraId="360C166C"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一、有權利瑕疵或其他法律上爭議。</w:t>
            </w:r>
          </w:p>
          <w:p w14:paraId="08C5044E"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二、不符合第五十七條規定。</w:t>
            </w:r>
          </w:p>
          <w:p w14:paraId="0942DA5D"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lastRenderedPageBreak/>
              <w:t>委託人提供之抵繳有價證券或其他商品有下列情事之一者，經證券商通知後，應於下列期限內以相等價值之現金或他種得為抵繳之有價證券或其他商品更換之：</w:t>
            </w:r>
          </w:p>
          <w:p w14:paraId="64BFD3D6" w14:textId="77777777" w:rsidR="00020800" w:rsidRDefault="00DC08BB">
            <w:pPr>
              <w:spacing w:line="360" w:lineRule="exact"/>
              <w:ind w:left="480" w:hanging="480"/>
              <w:jc w:val="both"/>
              <w:rPr>
                <w:rFonts w:ascii="標楷體" w:eastAsia="標楷體" w:hAnsi="標楷體"/>
                <w:bCs/>
                <w:szCs w:val="24"/>
              </w:rPr>
            </w:pPr>
            <w:r>
              <w:rPr>
                <w:rFonts w:ascii="標楷體" w:eastAsia="標楷體" w:hAnsi="標楷體"/>
                <w:bCs/>
                <w:szCs w:val="24"/>
              </w:rPr>
              <w:t>一、上市(櫃)有價證券、中央登錄公債、地方政府債券、公司債、金融債及櫃檯買賣黃金現貨，經證券交易所或櫃檯買賣中心核定並公告終止上市(櫃)時，證券商應通知委託人於該有價證券終止上市(櫃)前第十個營業日前更換。但上市(櫃)有價證券有第七十八條但書規定情事之一者及櫃檯買賣之開放式基金受益憑證，不在此限。</w:t>
            </w:r>
          </w:p>
          <w:p w14:paraId="2E2E9F78" w14:textId="77777777" w:rsidR="00020800" w:rsidRDefault="00020800">
            <w:pPr>
              <w:spacing w:line="360" w:lineRule="exact"/>
              <w:ind w:left="480" w:hanging="480"/>
              <w:jc w:val="both"/>
              <w:rPr>
                <w:rFonts w:ascii="標楷體" w:eastAsia="標楷體" w:hAnsi="標楷體"/>
                <w:bCs/>
                <w:szCs w:val="24"/>
              </w:rPr>
            </w:pPr>
          </w:p>
          <w:p w14:paraId="4DA8998E" w14:textId="77777777" w:rsidR="00020800" w:rsidRDefault="00020800">
            <w:pPr>
              <w:spacing w:line="360" w:lineRule="exact"/>
              <w:ind w:left="480" w:hanging="480"/>
              <w:jc w:val="both"/>
              <w:rPr>
                <w:rFonts w:ascii="標楷體" w:eastAsia="標楷體" w:hAnsi="標楷體"/>
                <w:bCs/>
                <w:szCs w:val="24"/>
              </w:rPr>
            </w:pPr>
          </w:p>
          <w:p w14:paraId="5817CA0E" w14:textId="77777777" w:rsidR="00020800" w:rsidRDefault="00020800">
            <w:pPr>
              <w:spacing w:line="360" w:lineRule="exact"/>
              <w:ind w:left="480" w:hanging="480"/>
              <w:jc w:val="both"/>
              <w:rPr>
                <w:rFonts w:ascii="標楷體" w:eastAsia="標楷體" w:hAnsi="標楷體"/>
                <w:bCs/>
                <w:szCs w:val="24"/>
              </w:rPr>
            </w:pPr>
          </w:p>
          <w:p w14:paraId="23AF6363" w14:textId="77777777" w:rsidR="00020800" w:rsidRDefault="00020800">
            <w:pPr>
              <w:spacing w:line="360" w:lineRule="exact"/>
              <w:ind w:left="480" w:hanging="480"/>
              <w:jc w:val="both"/>
              <w:rPr>
                <w:rFonts w:ascii="標楷體" w:eastAsia="標楷體" w:hAnsi="標楷體"/>
                <w:bCs/>
                <w:szCs w:val="24"/>
              </w:rPr>
            </w:pPr>
          </w:p>
          <w:p w14:paraId="1A84A0D0" w14:textId="77777777" w:rsidR="00020800" w:rsidRDefault="00020800">
            <w:pPr>
              <w:spacing w:line="360" w:lineRule="exact"/>
              <w:ind w:left="480" w:hanging="480"/>
              <w:jc w:val="both"/>
              <w:rPr>
                <w:rFonts w:ascii="標楷體" w:eastAsia="標楷體" w:hAnsi="標楷體"/>
                <w:bCs/>
                <w:szCs w:val="24"/>
              </w:rPr>
            </w:pPr>
          </w:p>
          <w:p w14:paraId="6D1A08DA" w14:textId="77777777" w:rsidR="00020800" w:rsidRDefault="00020800">
            <w:pPr>
              <w:spacing w:line="360" w:lineRule="exact"/>
              <w:ind w:left="480" w:hanging="480"/>
              <w:jc w:val="both"/>
              <w:rPr>
                <w:rFonts w:ascii="標楷體" w:eastAsia="標楷體" w:hAnsi="標楷體"/>
                <w:bCs/>
                <w:szCs w:val="24"/>
              </w:rPr>
            </w:pPr>
          </w:p>
          <w:p w14:paraId="1AD2835E" w14:textId="77777777" w:rsidR="00020800" w:rsidRDefault="00020800">
            <w:pPr>
              <w:spacing w:line="360" w:lineRule="exact"/>
              <w:ind w:left="480" w:hanging="480"/>
              <w:jc w:val="both"/>
              <w:rPr>
                <w:rFonts w:ascii="標楷體" w:eastAsia="標楷體" w:hAnsi="標楷體"/>
                <w:bCs/>
                <w:szCs w:val="24"/>
              </w:rPr>
            </w:pPr>
          </w:p>
          <w:p w14:paraId="19065D7B" w14:textId="77777777" w:rsidR="00020800" w:rsidRDefault="00020800">
            <w:pPr>
              <w:spacing w:line="360" w:lineRule="exact"/>
              <w:ind w:left="480" w:hanging="480"/>
              <w:jc w:val="both"/>
              <w:rPr>
                <w:rFonts w:ascii="標楷體" w:eastAsia="標楷體" w:hAnsi="標楷體"/>
                <w:bCs/>
                <w:szCs w:val="24"/>
              </w:rPr>
            </w:pPr>
          </w:p>
          <w:p w14:paraId="243CF13B" w14:textId="77777777" w:rsidR="00020800" w:rsidRDefault="00DC08BB">
            <w:pPr>
              <w:spacing w:line="360" w:lineRule="exact"/>
              <w:ind w:left="480" w:hanging="480"/>
              <w:jc w:val="both"/>
            </w:pPr>
            <w:r w:rsidRPr="007E22D1">
              <w:rPr>
                <w:rFonts w:ascii="標楷體" w:eastAsia="標楷體" w:hAnsi="標楷體"/>
                <w:bCs/>
                <w:szCs w:val="24"/>
              </w:rPr>
              <w:t>二</w:t>
            </w:r>
            <w:r>
              <w:rPr>
                <w:rFonts w:ascii="標楷體" w:eastAsia="標楷體" w:hAnsi="標楷體"/>
                <w:bCs/>
                <w:szCs w:val="24"/>
              </w:rPr>
              <w:t>、中央登錄公債、地方政府債券、公司債或金融債部分還本日前第十個營業日前。</w:t>
            </w:r>
          </w:p>
          <w:p w14:paraId="50FF2B17" w14:textId="77777777" w:rsidR="00020800" w:rsidRDefault="00DC08BB">
            <w:pPr>
              <w:spacing w:line="360" w:lineRule="exact"/>
              <w:ind w:left="480" w:hanging="480"/>
              <w:jc w:val="both"/>
            </w:pPr>
            <w:r w:rsidRPr="007E22D1">
              <w:rPr>
                <w:rFonts w:ascii="標楷體" w:eastAsia="標楷體" w:hAnsi="標楷體"/>
                <w:bCs/>
                <w:szCs w:val="24"/>
              </w:rPr>
              <w:t>三</w:t>
            </w:r>
            <w:r>
              <w:rPr>
                <w:rFonts w:ascii="標楷體" w:eastAsia="標楷體" w:hAnsi="標楷體"/>
                <w:bCs/>
                <w:szCs w:val="24"/>
              </w:rPr>
              <w:t>、開放式證券投資信託基金受益憑證及期貨信託基金受益憑證合併基準、信託契約終止或存續期屆滿前第十個營業</w:t>
            </w:r>
            <w:r>
              <w:rPr>
                <w:rFonts w:ascii="標楷體" w:eastAsia="標楷體" w:hAnsi="標楷體"/>
                <w:bCs/>
                <w:szCs w:val="24"/>
              </w:rPr>
              <w:lastRenderedPageBreak/>
              <w:t>日前。但合併後存續之開放式基金受益憑證，符合第五十七條擔保品之規定者不在此限。</w:t>
            </w:r>
          </w:p>
          <w:p w14:paraId="6824F635" w14:textId="77777777" w:rsidR="0085370B" w:rsidRDefault="0085370B">
            <w:pPr>
              <w:spacing w:line="360" w:lineRule="exact"/>
              <w:ind w:firstLine="480"/>
              <w:jc w:val="both"/>
              <w:rPr>
                <w:rFonts w:ascii="標楷體" w:eastAsia="標楷體" w:hAnsi="標楷體"/>
                <w:bCs/>
                <w:szCs w:val="24"/>
              </w:rPr>
            </w:pPr>
          </w:p>
          <w:p w14:paraId="6D063BD3" w14:textId="77777777" w:rsidR="0085370B" w:rsidRDefault="0085370B">
            <w:pPr>
              <w:spacing w:line="360" w:lineRule="exact"/>
              <w:ind w:firstLine="480"/>
              <w:jc w:val="both"/>
              <w:rPr>
                <w:rFonts w:ascii="標楷體" w:eastAsia="標楷體" w:hAnsi="標楷體"/>
                <w:bCs/>
                <w:szCs w:val="24"/>
              </w:rPr>
            </w:pPr>
          </w:p>
          <w:p w14:paraId="2331EF10" w14:textId="77777777" w:rsidR="00020800" w:rsidRDefault="00DC08BB">
            <w:pPr>
              <w:spacing w:line="360" w:lineRule="exact"/>
              <w:ind w:firstLine="480"/>
              <w:jc w:val="both"/>
              <w:rPr>
                <w:rFonts w:ascii="標楷體" w:eastAsia="標楷體" w:hAnsi="標楷體"/>
                <w:bCs/>
                <w:szCs w:val="24"/>
              </w:rPr>
            </w:pPr>
            <w:r>
              <w:rPr>
                <w:rFonts w:ascii="標楷體" w:eastAsia="標楷體" w:hAnsi="標楷體"/>
                <w:bCs/>
                <w:szCs w:val="24"/>
              </w:rPr>
              <w:t>委託人提供之抵繳有價證券有停止買賣或暫停交易情事者，無須更換之。</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CF162" w14:textId="77777777" w:rsidR="00020800" w:rsidRDefault="00194709" w:rsidP="00194709">
            <w:pPr>
              <w:pStyle w:val="a7"/>
              <w:spacing w:line="360" w:lineRule="exact"/>
              <w:ind w:hanging="480"/>
              <w:jc w:val="both"/>
              <w:rPr>
                <w:rFonts w:ascii="標楷體" w:eastAsia="標楷體" w:hAnsi="標楷體"/>
                <w:szCs w:val="24"/>
              </w:rPr>
            </w:pPr>
            <w:r w:rsidRPr="00194709">
              <w:rPr>
                <w:rFonts w:ascii="標楷體" w:eastAsia="標楷體" w:hAnsi="標楷體" w:hint="eastAsia"/>
                <w:szCs w:val="24"/>
              </w:rPr>
              <w:lastRenderedPageBreak/>
              <w:t>一、</w:t>
            </w:r>
            <w:r w:rsidR="00DC08BB">
              <w:rPr>
                <w:rFonts w:ascii="標楷體" w:eastAsia="標楷體" w:hAnsi="標楷體"/>
                <w:szCs w:val="24"/>
              </w:rPr>
              <w:t>因興櫃股票依規定終止櫃檯買賣者，係於櫃檯買賣中心公告日之次十五日起終止買賣，其較上市(櫃)股票係於終止交易日四十日前公告之時程短，為確保授信機構有足夠之作業時間通知委託人更換擔保品，爰新增第二項第二款，並依序調整款次，明定證券商應通知委託人於興櫃股票終止櫃檯買賣前第五個營業日前更換擔保品，但因轉上市</w:t>
            </w:r>
            <w:r w:rsidR="00DC08BB">
              <w:rPr>
                <w:rFonts w:ascii="標楷體" w:eastAsia="標楷體" w:hAnsi="標楷體"/>
                <w:szCs w:val="24"/>
              </w:rPr>
              <w:lastRenderedPageBreak/>
              <w:t>(櫃)而終止櫃檯買賣者，不在此限。</w:t>
            </w:r>
          </w:p>
          <w:p w14:paraId="7EB51BC2" w14:textId="77777777" w:rsidR="00194709" w:rsidRPr="00194709" w:rsidRDefault="00194709" w:rsidP="001A4F79">
            <w:pPr>
              <w:pStyle w:val="a7"/>
              <w:spacing w:line="360" w:lineRule="exact"/>
              <w:ind w:hanging="480"/>
              <w:jc w:val="both"/>
              <w:rPr>
                <w:rFonts w:ascii="標楷體" w:eastAsia="標楷體" w:hAnsi="標楷體"/>
                <w:szCs w:val="24"/>
              </w:rPr>
            </w:pPr>
            <w:r w:rsidRPr="00194709">
              <w:rPr>
                <w:rFonts w:ascii="標楷體" w:eastAsia="標楷體" w:hAnsi="標楷體" w:hint="eastAsia"/>
                <w:szCs w:val="24"/>
              </w:rPr>
              <w:t>二、</w:t>
            </w:r>
            <w:r w:rsidR="001A4F79" w:rsidRPr="009D757A">
              <w:rPr>
                <w:rFonts w:ascii="標楷體" w:eastAsia="標楷體" w:hAnsi="標楷體" w:hint="eastAsia"/>
                <w:szCs w:val="24"/>
              </w:rPr>
              <w:t>為使法規用語一致</w:t>
            </w:r>
            <w:r w:rsidR="007D3A7C">
              <w:rPr>
                <w:rFonts w:ascii="標楷體" w:eastAsia="標楷體" w:hAnsi="標楷體" w:hint="eastAsia"/>
                <w:szCs w:val="24"/>
              </w:rPr>
              <w:t>，參酌第五十七條第一項第五款</w:t>
            </w:r>
            <w:r w:rsidR="001A4F79" w:rsidRPr="009D757A">
              <w:rPr>
                <w:rFonts w:ascii="標楷體" w:eastAsia="標楷體" w:hAnsi="標楷體"/>
                <w:szCs w:val="24"/>
              </w:rPr>
              <w:t>，</w:t>
            </w:r>
            <w:r w:rsidR="001A4F79" w:rsidRPr="009D757A">
              <w:rPr>
                <w:rFonts w:ascii="標楷體" w:eastAsia="標楷體" w:hAnsi="標楷體" w:hint="eastAsia"/>
                <w:szCs w:val="24"/>
              </w:rPr>
              <w:t>酌修</w:t>
            </w:r>
            <w:r w:rsidR="001A4F79">
              <w:rPr>
                <w:rFonts w:ascii="標楷體" w:eastAsia="標楷體" w:hAnsi="標楷體" w:hint="eastAsia"/>
                <w:szCs w:val="24"/>
              </w:rPr>
              <w:t>第二項第四</w:t>
            </w:r>
            <w:r w:rsidR="001A4F79" w:rsidRPr="00E061D5">
              <w:rPr>
                <w:rFonts w:ascii="標楷體" w:eastAsia="標楷體" w:hAnsi="標楷體" w:hint="eastAsia"/>
                <w:szCs w:val="24"/>
              </w:rPr>
              <w:t>款</w:t>
            </w:r>
            <w:r w:rsidR="001A4F79" w:rsidRPr="009D757A">
              <w:rPr>
                <w:rFonts w:ascii="標楷體" w:eastAsia="標楷體" w:hAnsi="標楷體" w:hint="eastAsia"/>
                <w:szCs w:val="24"/>
              </w:rPr>
              <w:t>部分文字，以臻明確。</w:t>
            </w:r>
          </w:p>
        </w:tc>
      </w:tr>
      <w:tr w:rsidR="00A014A2" w14:paraId="1FD3F59A"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AF6E9" w14:textId="77777777" w:rsidR="00A014A2" w:rsidRPr="00096660" w:rsidRDefault="00A014A2" w:rsidP="00950F6F">
            <w:pPr>
              <w:spacing w:line="360" w:lineRule="exact"/>
              <w:ind w:left="240" w:hanging="240"/>
              <w:jc w:val="both"/>
              <w:rPr>
                <w:rFonts w:ascii="標楷體" w:eastAsia="標楷體" w:hAnsi="標楷體"/>
                <w:bCs/>
                <w:szCs w:val="24"/>
              </w:rPr>
            </w:pPr>
            <w:r w:rsidRPr="006C5B31">
              <w:rPr>
                <w:rFonts w:ascii="標楷體" w:eastAsia="標楷體" w:hAnsi="標楷體" w:hint="eastAsia"/>
                <w:bCs/>
                <w:szCs w:val="24"/>
              </w:rPr>
              <w:lastRenderedPageBreak/>
              <w:t>第六十</w:t>
            </w:r>
            <w:r w:rsidRPr="00A014A2">
              <w:rPr>
                <w:rFonts w:ascii="標楷體" w:eastAsia="標楷體" w:hAnsi="標楷體" w:hint="eastAsia"/>
                <w:bCs/>
                <w:szCs w:val="24"/>
              </w:rPr>
              <w:t>四</w:t>
            </w:r>
            <w:r w:rsidRPr="006C5B31">
              <w:rPr>
                <w:rFonts w:ascii="標楷體" w:eastAsia="標楷體" w:hAnsi="標楷體" w:hint="eastAsia"/>
                <w:bCs/>
                <w:szCs w:val="24"/>
              </w:rPr>
              <w:t>條</w:t>
            </w:r>
          </w:p>
          <w:p w14:paraId="7E8F1212" w14:textId="77777777" w:rsidR="00950F6F" w:rsidRDefault="00950F6F" w:rsidP="003D7F6A">
            <w:pPr>
              <w:spacing w:line="360" w:lineRule="exact"/>
              <w:ind w:firstLine="480"/>
              <w:jc w:val="both"/>
              <w:rPr>
                <w:rFonts w:ascii="標楷體" w:eastAsia="標楷體" w:hAnsi="標楷體"/>
                <w:bCs/>
                <w:szCs w:val="24"/>
              </w:rPr>
            </w:pPr>
            <w:r w:rsidRPr="00950F6F">
              <w:rPr>
                <w:rFonts w:ascii="標楷體" w:eastAsia="標楷體" w:hAnsi="標楷體" w:hint="eastAsia"/>
                <w:bCs/>
                <w:szCs w:val="24"/>
              </w:rPr>
              <w:t>委託人採非當面方式申請現款現券償還融資融券，仍應依前條規定辦理，其已簽具現償申請書免簽章同意書，經證券商確認並留存紀錄者，委託人得免辦理現償申請書之簽章。</w:t>
            </w:r>
          </w:p>
          <w:p w14:paraId="51B53D0A" w14:textId="77777777" w:rsidR="00950F6F" w:rsidRDefault="00950F6F" w:rsidP="003D7F6A">
            <w:pPr>
              <w:spacing w:line="360" w:lineRule="exact"/>
              <w:ind w:firstLine="480"/>
              <w:jc w:val="both"/>
              <w:rPr>
                <w:rFonts w:ascii="標楷體" w:eastAsia="標楷體" w:hAnsi="標楷體"/>
                <w:bCs/>
                <w:szCs w:val="24"/>
              </w:rPr>
            </w:pPr>
            <w:r w:rsidRPr="000546E5">
              <w:rPr>
                <w:rFonts w:ascii="標楷體" w:eastAsia="標楷體" w:hAnsi="標楷體" w:hint="eastAsia"/>
                <w:bCs/>
                <w:szCs w:val="24"/>
              </w:rPr>
              <w:t>前項委託人以電話方式申請者，證券商應確認本人或被授權人身分並同步錄音；以通信或電子化方式申請者，證券商應確認委託人意思表示及本人或被授權人身分並留存</w:t>
            </w:r>
            <w:r w:rsidR="00A57D57" w:rsidRPr="000546E5">
              <w:rPr>
                <w:rFonts w:ascii="標楷體" w:eastAsia="標楷體" w:hAnsi="標楷體" w:hint="eastAsia"/>
                <w:bCs/>
                <w:color w:val="FF0000"/>
                <w:szCs w:val="24"/>
                <w:u w:val="single"/>
              </w:rPr>
              <w:t>相關</w:t>
            </w:r>
            <w:r w:rsidRPr="000546E5">
              <w:rPr>
                <w:rFonts w:ascii="標楷體" w:eastAsia="標楷體" w:hAnsi="標楷體" w:hint="eastAsia"/>
                <w:bCs/>
                <w:szCs w:val="24"/>
              </w:rPr>
              <w:t>紀錄</w:t>
            </w:r>
            <w:r w:rsidR="00E40B1C" w:rsidRPr="000546E5">
              <w:rPr>
                <w:rFonts w:ascii="標楷體" w:eastAsia="標楷體" w:hAnsi="標楷體" w:hint="eastAsia"/>
                <w:bCs/>
                <w:color w:val="FF0000"/>
                <w:szCs w:val="24"/>
                <w:u w:val="single"/>
              </w:rPr>
              <w:t>。</w:t>
            </w:r>
            <w:r w:rsidRPr="000546E5">
              <w:rPr>
                <w:rFonts w:ascii="標楷體" w:eastAsia="標楷體" w:hAnsi="標楷體" w:hint="eastAsia"/>
                <w:bCs/>
                <w:szCs w:val="24"/>
              </w:rPr>
              <w:t>電話</w:t>
            </w:r>
            <w:r w:rsidR="00E40B1C" w:rsidRPr="000546E5">
              <w:rPr>
                <w:rFonts w:ascii="標楷體" w:eastAsia="標楷體" w:hAnsi="標楷體" w:hint="eastAsia"/>
                <w:bCs/>
                <w:color w:val="FF0000"/>
                <w:szCs w:val="24"/>
                <w:u w:val="single"/>
              </w:rPr>
              <w:t>及</w:t>
            </w:r>
            <w:r w:rsidRPr="000546E5">
              <w:rPr>
                <w:rFonts w:ascii="標楷體" w:eastAsia="標楷體" w:hAnsi="標楷體" w:hint="eastAsia"/>
                <w:bCs/>
                <w:szCs w:val="24"/>
              </w:rPr>
              <w:t>通信之紀錄應置於營業處所，電子化方式之紀錄應可隨時將儲存</w:t>
            </w:r>
            <w:r w:rsidR="00CD78F7" w:rsidRPr="000546E5">
              <w:rPr>
                <w:rFonts w:ascii="標楷體" w:eastAsia="標楷體" w:hAnsi="標楷體" w:hint="eastAsia"/>
                <w:bCs/>
                <w:color w:val="FF0000"/>
                <w:szCs w:val="24"/>
                <w:u w:val="single"/>
              </w:rPr>
              <w:t>於</w:t>
            </w:r>
            <w:r w:rsidRPr="000546E5">
              <w:rPr>
                <w:rFonts w:ascii="標楷體" w:eastAsia="標楷體" w:hAnsi="標楷體" w:hint="eastAsia"/>
                <w:bCs/>
                <w:szCs w:val="24"/>
              </w:rPr>
              <w:t>電子媒體資料轉換</w:t>
            </w:r>
            <w:r w:rsidR="002A173B" w:rsidRPr="000546E5">
              <w:rPr>
                <w:rFonts w:ascii="標楷體" w:eastAsia="標楷體" w:hAnsi="標楷體" w:hint="eastAsia"/>
                <w:bCs/>
                <w:color w:val="FF0000"/>
                <w:szCs w:val="24"/>
                <w:u w:val="single"/>
              </w:rPr>
              <w:t>為</w:t>
            </w:r>
            <w:r w:rsidRPr="000546E5">
              <w:rPr>
                <w:rFonts w:ascii="標楷體" w:eastAsia="標楷體" w:hAnsi="標楷體" w:hint="eastAsia"/>
                <w:bCs/>
                <w:szCs w:val="24"/>
              </w:rPr>
              <w:t>書面</w:t>
            </w:r>
            <w:r w:rsidR="00E40B1C" w:rsidRPr="000546E5">
              <w:rPr>
                <w:rFonts w:ascii="標楷體" w:eastAsia="標楷體" w:hAnsi="標楷體" w:hint="eastAsia"/>
                <w:bCs/>
                <w:color w:val="FF0000"/>
                <w:szCs w:val="24"/>
                <w:u w:val="single"/>
              </w:rPr>
              <w:t>。前述</w:t>
            </w:r>
            <w:r w:rsidRPr="000546E5">
              <w:rPr>
                <w:rFonts w:ascii="標楷體" w:eastAsia="標楷體" w:hAnsi="標楷體" w:hint="eastAsia"/>
                <w:bCs/>
                <w:szCs w:val="24"/>
              </w:rPr>
              <w:t>紀錄</w:t>
            </w:r>
            <w:r w:rsidR="00E40B1C" w:rsidRPr="000546E5">
              <w:rPr>
                <w:rFonts w:ascii="標楷體" w:eastAsia="標楷體" w:hAnsi="標楷體" w:hint="eastAsia"/>
                <w:bCs/>
                <w:color w:val="FF0000"/>
                <w:szCs w:val="24"/>
                <w:u w:val="single"/>
              </w:rPr>
              <w:t>應至少</w:t>
            </w:r>
            <w:r w:rsidRPr="000546E5">
              <w:rPr>
                <w:rFonts w:ascii="標楷體" w:eastAsia="標楷體" w:hAnsi="標楷體" w:hint="eastAsia"/>
                <w:bCs/>
                <w:szCs w:val="24"/>
              </w:rPr>
              <w:t>保存一年，有爭議者應保存至爭議消除為止。</w:t>
            </w:r>
          </w:p>
          <w:p w14:paraId="30F39641" w14:textId="77777777" w:rsidR="00950F6F" w:rsidRDefault="00950F6F" w:rsidP="003D7F6A">
            <w:pPr>
              <w:spacing w:line="360" w:lineRule="exact"/>
              <w:ind w:firstLine="480"/>
              <w:jc w:val="both"/>
              <w:rPr>
                <w:rFonts w:ascii="標楷體" w:eastAsia="標楷體" w:hAnsi="標楷體"/>
                <w:bCs/>
                <w:szCs w:val="24"/>
              </w:rPr>
            </w:pPr>
            <w:r w:rsidRPr="00950F6F">
              <w:rPr>
                <w:rFonts w:ascii="標楷體" w:eastAsia="標楷體" w:hAnsi="標楷體" w:hint="eastAsia"/>
                <w:bCs/>
                <w:szCs w:val="24"/>
              </w:rPr>
              <w:t>前項被授權人應取得委託人出具載明被授權人得代理其本人辦理現償事項之授權書。</w:t>
            </w:r>
          </w:p>
          <w:p w14:paraId="0BD80B7E" w14:textId="77777777" w:rsidR="00950F6F" w:rsidRDefault="00950F6F" w:rsidP="003D7F6A">
            <w:pPr>
              <w:spacing w:line="360" w:lineRule="exact"/>
              <w:ind w:firstLine="480"/>
              <w:jc w:val="both"/>
              <w:rPr>
                <w:rFonts w:ascii="標楷體" w:eastAsia="標楷體" w:hAnsi="標楷體"/>
                <w:bCs/>
                <w:szCs w:val="24"/>
              </w:rPr>
            </w:pPr>
            <w:r w:rsidRPr="00950F6F">
              <w:rPr>
                <w:rFonts w:ascii="標楷體" w:eastAsia="標楷體" w:hAnsi="標楷體" w:hint="eastAsia"/>
                <w:bCs/>
                <w:szCs w:val="24"/>
              </w:rPr>
              <w:t>委託人依第一項規定辦理現償申請書免簽章者，除有前條第二項情事者外，證券商應退還委託人之融券賣</w:t>
            </w:r>
            <w:r w:rsidRPr="00950F6F">
              <w:rPr>
                <w:rFonts w:ascii="標楷體" w:eastAsia="標楷體" w:hAnsi="標楷體" w:hint="eastAsia"/>
                <w:bCs/>
                <w:szCs w:val="24"/>
              </w:rPr>
              <w:lastRenderedPageBreak/>
              <w:t>出擔保價款及融券保證金，應存入與委託人委託買賣帳簿劃撥交割相同之銀行存款帳戶；應退還委託人之融資買進證券或各種抵繳有價證券或其他商品，應轉撥入委託人之保管劃撥帳戶或中央登錄債券帳戶；非委託人所有之抵繳有價證券或其他商品退還，應以帳簿劃撥方式為之。</w:t>
            </w:r>
          </w:p>
          <w:p w14:paraId="7A3D8602" w14:textId="77777777" w:rsidR="00950F6F" w:rsidRPr="00950F6F" w:rsidRDefault="00950F6F" w:rsidP="00950F6F">
            <w:pPr>
              <w:spacing w:line="360" w:lineRule="exact"/>
              <w:ind w:firstLine="480"/>
              <w:jc w:val="both"/>
              <w:rPr>
                <w:rFonts w:ascii="標楷體" w:eastAsia="標楷體" w:hAnsi="標楷體"/>
                <w:bCs/>
                <w:szCs w:val="24"/>
              </w:rPr>
            </w:pPr>
            <w:r w:rsidRPr="00A014A2">
              <w:rPr>
                <w:rFonts w:ascii="標楷體" w:eastAsia="標楷體" w:hAnsi="標楷體"/>
                <w:bCs/>
                <w:szCs w:val="24"/>
              </w:rPr>
              <w:t>證券商接受委託人以證券商名義申購之證券投資信託基金受益憑證抵繳者，應依第五十七條第</w:t>
            </w:r>
            <w:r w:rsidRPr="003D7F6A">
              <w:rPr>
                <w:rFonts w:ascii="標楷體" w:eastAsia="標楷體" w:hAnsi="標楷體" w:hint="eastAsia"/>
                <w:bCs/>
                <w:color w:val="FF0000"/>
                <w:szCs w:val="24"/>
                <w:u w:val="single"/>
              </w:rPr>
              <w:t>六</w:t>
            </w:r>
            <w:r w:rsidRPr="00A014A2">
              <w:rPr>
                <w:rFonts w:ascii="標楷體" w:eastAsia="標楷體" w:hAnsi="標楷體"/>
                <w:bCs/>
                <w:szCs w:val="24"/>
              </w:rPr>
              <w:t>項辦理，不適用前項應以帳簿劃撥方式退還之規定。</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B057F" w14:textId="77777777" w:rsidR="00A014A2" w:rsidRDefault="00A014A2" w:rsidP="001F4355">
            <w:pPr>
              <w:spacing w:line="360" w:lineRule="exact"/>
              <w:ind w:left="240" w:hanging="240"/>
              <w:jc w:val="both"/>
              <w:rPr>
                <w:rFonts w:ascii="標楷體" w:eastAsia="標楷體" w:hAnsi="標楷體"/>
                <w:bCs/>
                <w:szCs w:val="24"/>
              </w:rPr>
            </w:pPr>
            <w:r w:rsidRPr="006C5B31">
              <w:rPr>
                <w:rFonts w:ascii="標楷體" w:eastAsia="標楷體" w:hAnsi="標楷體" w:hint="eastAsia"/>
                <w:bCs/>
                <w:szCs w:val="24"/>
              </w:rPr>
              <w:lastRenderedPageBreak/>
              <w:t>第六十</w:t>
            </w:r>
            <w:r w:rsidRPr="00A014A2">
              <w:rPr>
                <w:rFonts w:ascii="標楷體" w:eastAsia="標楷體" w:hAnsi="標楷體" w:hint="eastAsia"/>
                <w:bCs/>
                <w:szCs w:val="24"/>
              </w:rPr>
              <w:t>四</w:t>
            </w:r>
            <w:r w:rsidRPr="006C5B31">
              <w:rPr>
                <w:rFonts w:ascii="標楷體" w:eastAsia="標楷體" w:hAnsi="標楷體" w:hint="eastAsia"/>
                <w:bCs/>
                <w:szCs w:val="24"/>
              </w:rPr>
              <w:t>條</w:t>
            </w:r>
          </w:p>
          <w:p w14:paraId="4A1E9BE6" w14:textId="77777777" w:rsidR="00950F6F" w:rsidRDefault="00950F6F" w:rsidP="00950F6F">
            <w:pPr>
              <w:spacing w:line="360" w:lineRule="exact"/>
              <w:ind w:firstLine="480"/>
              <w:jc w:val="both"/>
              <w:rPr>
                <w:rFonts w:ascii="標楷體" w:eastAsia="標楷體" w:hAnsi="標楷體"/>
                <w:bCs/>
                <w:szCs w:val="24"/>
              </w:rPr>
            </w:pPr>
            <w:r w:rsidRPr="00950F6F">
              <w:rPr>
                <w:rFonts w:ascii="標楷體" w:eastAsia="標楷體" w:hAnsi="標楷體" w:hint="eastAsia"/>
                <w:bCs/>
                <w:szCs w:val="24"/>
              </w:rPr>
              <w:t>委託人採非當面方式申請現款現券償還融資融券，仍應依前條規定辦理，其已簽具現償申請書免簽章同意書，經證券商確認並留存紀錄者，委託人得免辦理現償申請書之簽章。</w:t>
            </w:r>
          </w:p>
          <w:p w14:paraId="134F9A54" w14:textId="77777777" w:rsidR="00950F6F" w:rsidRDefault="00950F6F" w:rsidP="00950F6F">
            <w:pPr>
              <w:spacing w:line="360" w:lineRule="exact"/>
              <w:ind w:firstLine="480"/>
              <w:jc w:val="both"/>
              <w:rPr>
                <w:rFonts w:ascii="標楷體" w:eastAsia="標楷體" w:hAnsi="標楷體"/>
                <w:bCs/>
                <w:szCs w:val="24"/>
              </w:rPr>
            </w:pPr>
            <w:r w:rsidRPr="00950F6F">
              <w:rPr>
                <w:rFonts w:ascii="標楷體" w:eastAsia="標楷體" w:hAnsi="標楷體" w:hint="eastAsia"/>
                <w:bCs/>
                <w:szCs w:val="24"/>
              </w:rPr>
              <w:t>前項委託人以電話方式申請者，證券商應確認本人或被授權人身分並同步錄音；以通信或電子化方式申請者，證券商應確認委託人意思表示及本人或被授權人身分並留存紀錄；電話、通信之紀錄應置於營業處所，電子化方式之紀錄應可隨時將儲存電子媒體資料轉換成書面；且紀錄保存</w:t>
            </w:r>
            <w:r w:rsidRPr="00E40B1C">
              <w:rPr>
                <w:rFonts w:ascii="標楷體" w:eastAsia="標楷體" w:hAnsi="標楷體" w:hint="eastAsia"/>
                <w:bCs/>
                <w:color w:val="FF0000"/>
                <w:szCs w:val="24"/>
                <w:u w:val="single"/>
              </w:rPr>
              <w:t>年限至少</w:t>
            </w:r>
            <w:r w:rsidRPr="00950F6F">
              <w:rPr>
                <w:rFonts w:ascii="標楷體" w:eastAsia="標楷體" w:hAnsi="標楷體" w:hint="eastAsia"/>
                <w:bCs/>
                <w:szCs w:val="24"/>
              </w:rPr>
              <w:t>一年，有爭議者應保存至爭議消除為止。</w:t>
            </w:r>
          </w:p>
          <w:p w14:paraId="6FE03ED6" w14:textId="77777777" w:rsidR="00950F6F" w:rsidRDefault="00950F6F" w:rsidP="00950F6F">
            <w:pPr>
              <w:spacing w:line="360" w:lineRule="exact"/>
              <w:ind w:firstLine="480"/>
              <w:jc w:val="both"/>
              <w:rPr>
                <w:rFonts w:ascii="標楷體" w:eastAsia="標楷體" w:hAnsi="標楷體"/>
                <w:bCs/>
                <w:szCs w:val="24"/>
              </w:rPr>
            </w:pPr>
            <w:r w:rsidRPr="00950F6F">
              <w:rPr>
                <w:rFonts w:ascii="標楷體" w:eastAsia="標楷體" w:hAnsi="標楷體" w:hint="eastAsia"/>
                <w:bCs/>
                <w:szCs w:val="24"/>
              </w:rPr>
              <w:t>前項被授權人應取得委託人出具載明被授權人得代理其本人辦理現償事項之授權書。</w:t>
            </w:r>
          </w:p>
          <w:p w14:paraId="08D78C09" w14:textId="77777777" w:rsidR="00950F6F" w:rsidRDefault="00950F6F" w:rsidP="00950F6F">
            <w:pPr>
              <w:spacing w:line="360" w:lineRule="exact"/>
              <w:ind w:firstLine="480"/>
              <w:jc w:val="both"/>
              <w:rPr>
                <w:rFonts w:ascii="標楷體" w:eastAsia="標楷體" w:hAnsi="標楷體"/>
                <w:bCs/>
                <w:szCs w:val="24"/>
              </w:rPr>
            </w:pPr>
            <w:r w:rsidRPr="00950F6F">
              <w:rPr>
                <w:rFonts w:ascii="標楷體" w:eastAsia="標楷體" w:hAnsi="標楷體" w:hint="eastAsia"/>
                <w:bCs/>
                <w:szCs w:val="24"/>
              </w:rPr>
              <w:t>委託人依第一項規定辦理現償申請書免簽章者，除有前條第二項情事者外，證券商應退還委託人之融券賣</w:t>
            </w:r>
            <w:r w:rsidRPr="00950F6F">
              <w:rPr>
                <w:rFonts w:ascii="標楷體" w:eastAsia="標楷體" w:hAnsi="標楷體" w:hint="eastAsia"/>
                <w:bCs/>
                <w:szCs w:val="24"/>
              </w:rPr>
              <w:lastRenderedPageBreak/>
              <w:t>出擔保價款及融券保證金，應存入與委託人委託買賣帳簿劃撥交割相同之銀行存款帳戶；應退還委託人之融資買進證券或各種抵繳有價證券或其他商品，應轉撥入委託人之保管劃撥帳戶或中央登錄債券帳戶；非委託人所有之抵繳有價證券或其他商品退還，應以帳簿劃撥方式為之。</w:t>
            </w:r>
          </w:p>
          <w:p w14:paraId="5023E526" w14:textId="77777777" w:rsidR="00A014A2" w:rsidRPr="00A014A2" w:rsidRDefault="00950F6F" w:rsidP="00950F6F">
            <w:pPr>
              <w:spacing w:line="360" w:lineRule="exact"/>
              <w:ind w:firstLine="480"/>
              <w:jc w:val="both"/>
              <w:rPr>
                <w:rFonts w:ascii="標楷體" w:eastAsia="標楷體" w:hAnsi="標楷體"/>
                <w:bCs/>
                <w:szCs w:val="24"/>
              </w:rPr>
            </w:pPr>
            <w:r w:rsidRPr="00A014A2">
              <w:rPr>
                <w:rFonts w:ascii="標楷體" w:eastAsia="標楷體" w:hAnsi="標楷體"/>
                <w:bCs/>
                <w:szCs w:val="24"/>
              </w:rPr>
              <w:t>證券商接受委託人以證券商名義申購之證券投資信託基金受益憑證抵繳者，應依第五十七條第</w:t>
            </w:r>
            <w:r>
              <w:rPr>
                <w:rFonts w:ascii="標楷體" w:eastAsia="標楷體" w:hAnsi="標楷體" w:hint="eastAsia"/>
                <w:bCs/>
                <w:szCs w:val="24"/>
              </w:rPr>
              <w:t>五</w:t>
            </w:r>
            <w:r w:rsidRPr="00A014A2">
              <w:rPr>
                <w:rFonts w:ascii="標楷體" w:eastAsia="標楷體" w:hAnsi="標楷體"/>
                <w:bCs/>
                <w:szCs w:val="24"/>
              </w:rPr>
              <w:t>項辦理，不適用前項應以帳簿劃撥方式退還之規定。</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ABF45" w14:textId="77777777" w:rsidR="005B3690" w:rsidRDefault="005B3690" w:rsidP="005B3690">
            <w:pPr>
              <w:pStyle w:val="a7"/>
              <w:spacing w:line="360" w:lineRule="exact"/>
              <w:ind w:hanging="480"/>
              <w:jc w:val="both"/>
              <w:rPr>
                <w:rFonts w:ascii="標楷體" w:eastAsia="標楷體" w:hAnsi="標楷體"/>
                <w:szCs w:val="24"/>
              </w:rPr>
            </w:pPr>
            <w:r w:rsidRPr="000546E5">
              <w:rPr>
                <w:rFonts w:ascii="標楷體" w:eastAsia="標楷體" w:hAnsi="標楷體" w:hint="eastAsia"/>
                <w:szCs w:val="24"/>
              </w:rPr>
              <w:lastRenderedPageBreak/>
              <w:t>一、配合第五十八條第二項</w:t>
            </w:r>
            <w:r w:rsidR="000546E5" w:rsidRPr="000546E5">
              <w:rPr>
                <w:rFonts w:ascii="標楷體" w:eastAsia="標楷體" w:hAnsi="標楷體" w:hint="eastAsia"/>
                <w:szCs w:val="24"/>
              </w:rPr>
              <w:t>修正</w:t>
            </w:r>
            <w:r w:rsidRPr="000546E5">
              <w:rPr>
                <w:rFonts w:ascii="標楷體" w:eastAsia="標楷體" w:hAnsi="標楷體" w:hint="eastAsia"/>
                <w:szCs w:val="24"/>
              </w:rPr>
              <w:t>，為使法規用語一致，酌修第二項部分文字。</w:t>
            </w:r>
          </w:p>
          <w:p w14:paraId="79287315" w14:textId="77777777" w:rsidR="00A014A2" w:rsidRPr="00473553" w:rsidRDefault="005B3690" w:rsidP="005B3690">
            <w:pPr>
              <w:pStyle w:val="a7"/>
              <w:spacing w:line="360" w:lineRule="exact"/>
              <w:ind w:hanging="480"/>
              <w:jc w:val="both"/>
              <w:rPr>
                <w:rFonts w:ascii="標楷體" w:eastAsia="標楷體" w:hAnsi="標楷體"/>
                <w:szCs w:val="24"/>
              </w:rPr>
            </w:pPr>
            <w:r>
              <w:rPr>
                <w:rFonts w:ascii="標楷體" w:eastAsia="標楷體" w:hAnsi="標楷體" w:hint="eastAsia"/>
                <w:szCs w:val="24"/>
              </w:rPr>
              <w:t>二、</w:t>
            </w:r>
            <w:r w:rsidR="003D7F6A" w:rsidRPr="003D7F6A">
              <w:rPr>
                <w:rFonts w:ascii="標楷體" w:eastAsia="標楷體" w:hAnsi="標楷體" w:hint="eastAsia"/>
                <w:szCs w:val="24"/>
              </w:rPr>
              <w:t>配合</w:t>
            </w:r>
            <w:r w:rsidR="00E972F5" w:rsidRPr="005B3690">
              <w:rPr>
                <w:rFonts w:ascii="標楷體" w:eastAsia="標楷體" w:hAnsi="標楷體"/>
                <w:szCs w:val="24"/>
              </w:rPr>
              <w:t>第五十七條</w:t>
            </w:r>
            <w:r w:rsidR="00E972F5" w:rsidRPr="005B3690">
              <w:rPr>
                <w:rFonts w:ascii="標楷體" w:eastAsia="標楷體" w:hAnsi="標楷體" w:hint="eastAsia"/>
                <w:szCs w:val="24"/>
              </w:rPr>
              <w:t>項次調整，爰</w:t>
            </w:r>
            <w:r w:rsidR="007D61FF" w:rsidRPr="009D757A">
              <w:rPr>
                <w:rFonts w:ascii="標楷體" w:eastAsia="標楷體" w:hAnsi="標楷體" w:hint="eastAsia"/>
                <w:szCs w:val="24"/>
              </w:rPr>
              <w:t>修</w:t>
            </w:r>
            <w:r w:rsidR="00E972F5" w:rsidRPr="00E972F5">
              <w:rPr>
                <w:rFonts w:ascii="標楷體" w:eastAsia="標楷體" w:hAnsi="標楷體" w:hint="eastAsia"/>
                <w:szCs w:val="24"/>
              </w:rPr>
              <w:t>正</w:t>
            </w:r>
            <w:r w:rsidR="007D61FF" w:rsidRPr="009D757A">
              <w:rPr>
                <w:rFonts w:ascii="標楷體" w:eastAsia="標楷體" w:hAnsi="標楷體" w:hint="eastAsia"/>
                <w:szCs w:val="24"/>
              </w:rPr>
              <w:t>第</w:t>
            </w:r>
            <w:r w:rsidR="007D61FF" w:rsidRPr="007D61FF">
              <w:rPr>
                <w:rFonts w:ascii="標楷體" w:eastAsia="標楷體" w:hAnsi="標楷體" w:hint="eastAsia"/>
                <w:szCs w:val="24"/>
              </w:rPr>
              <w:t>五</w:t>
            </w:r>
            <w:r w:rsidR="007D61FF" w:rsidRPr="009D757A">
              <w:rPr>
                <w:rFonts w:ascii="標楷體" w:eastAsia="標楷體" w:hAnsi="標楷體" w:hint="eastAsia"/>
                <w:szCs w:val="24"/>
              </w:rPr>
              <w:t>項文字。</w:t>
            </w:r>
          </w:p>
        </w:tc>
      </w:tr>
      <w:tr w:rsidR="006C5B31" w14:paraId="28BE9DB1"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1C9EC" w14:textId="77777777" w:rsidR="006C5B31" w:rsidRPr="006C5B31" w:rsidRDefault="006C5B31" w:rsidP="006C5B31">
            <w:pPr>
              <w:spacing w:line="360" w:lineRule="exact"/>
              <w:ind w:left="240" w:hanging="240"/>
              <w:jc w:val="both"/>
              <w:rPr>
                <w:rFonts w:ascii="標楷體" w:eastAsia="標楷體" w:hAnsi="標楷體"/>
                <w:bCs/>
                <w:szCs w:val="24"/>
              </w:rPr>
            </w:pPr>
            <w:r w:rsidRPr="006C5B31">
              <w:rPr>
                <w:rFonts w:ascii="標楷體" w:eastAsia="標楷體" w:hAnsi="標楷體" w:hint="eastAsia"/>
                <w:bCs/>
                <w:szCs w:val="24"/>
              </w:rPr>
              <w:t>第七十六條</w:t>
            </w:r>
          </w:p>
          <w:p w14:paraId="0B2C2653" w14:textId="77777777" w:rsidR="006C5B31" w:rsidRPr="006C5B31" w:rsidRDefault="00A437E1" w:rsidP="006C5B31">
            <w:pPr>
              <w:spacing w:line="360" w:lineRule="exact"/>
              <w:ind w:firstLine="480"/>
              <w:jc w:val="both"/>
              <w:rPr>
                <w:rFonts w:ascii="標楷體" w:eastAsia="標楷體" w:hAnsi="標楷體"/>
                <w:bCs/>
                <w:szCs w:val="24"/>
              </w:rPr>
            </w:pPr>
            <w:r w:rsidRPr="00A437E1">
              <w:rPr>
                <w:rFonts w:ascii="標楷體" w:eastAsia="標楷體" w:hAnsi="標楷體"/>
                <w:bCs/>
                <w:szCs w:val="24"/>
              </w:rPr>
              <w:t>得為融資融券之有價證券，自停止過戶前六個營業日起，停止融券賣出四日；已融券者，應於停止過戶第六個營業日(含)前，還券了結；已出借者，證券商應請求提前還券，並於最後過戶日(含)前取回。委託人申請以現券償還融券，且券源為向同一證券商申請之有價證券借貸業務借券者，至遲應於停止過戶第七個營業日(含)前提出申請，證券商若無券源，得拒絕之。但因下列原因停止過戶者不在此限：</w:t>
            </w:r>
          </w:p>
          <w:p w14:paraId="37C6EB7C" w14:textId="77777777" w:rsidR="006C5B31" w:rsidRPr="006C5B31" w:rsidRDefault="006C5B31" w:rsidP="006C5B31">
            <w:pPr>
              <w:spacing w:line="360" w:lineRule="exact"/>
              <w:ind w:left="480" w:hanging="480"/>
              <w:jc w:val="both"/>
              <w:rPr>
                <w:rFonts w:ascii="標楷體" w:eastAsia="標楷體" w:hAnsi="標楷體"/>
                <w:bCs/>
                <w:szCs w:val="24"/>
              </w:rPr>
            </w:pPr>
            <w:r w:rsidRPr="006C5B31">
              <w:rPr>
                <w:rFonts w:ascii="標楷體" w:eastAsia="標楷體" w:hAnsi="標楷體" w:hint="eastAsia"/>
                <w:bCs/>
                <w:szCs w:val="24"/>
              </w:rPr>
              <w:t>一、</w:t>
            </w:r>
            <w:r w:rsidR="00A437E1" w:rsidRPr="00A437E1">
              <w:rPr>
                <w:rFonts w:ascii="標楷體" w:eastAsia="標楷體" w:hAnsi="標楷體"/>
                <w:bCs/>
                <w:szCs w:val="24"/>
              </w:rPr>
              <w:t>召開臨時股東會。</w:t>
            </w:r>
          </w:p>
          <w:p w14:paraId="6544C9C3" w14:textId="77777777" w:rsidR="006C5B31" w:rsidRPr="006C5B31" w:rsidRDefault="006C5B31" w:rsidP="006C5B31">
            <w:pPr>
              <w:spacing w:line="360" w:lineRule="exact"/>
              <w:ind w:left="480" w:hanging="480"/>
              <w:jc w:val="both"/>
              <w:rPr>
                <w:rFonts w:ascii="標楷體" w:eastAsia="標楷體" w:hAnsi="標楷體"/>
                <w:bCs/>
                <w:szCs w:val="24"/>
              </w:rPr>
            </w:pPr>
            <w:r w:rsidRPr="006C5B31">
              <w:rPr>
                <w:rFonts w:ascii="標楷體" w:eastAsia="標楷體" w:hAnsi="標楷體" w:hint="eastAsia"/>
                <w:bCs/>
                <w:szCs w:val="24"/>
              </w:rPr>
              <w:t>二、</w:t>
            </w:r>
            <w:r w:rsidR="00A437E1" w:rsidRPr="00A437E1">
              <w:rPr>
                <w:rFonts w:ascii="標楷體" w:eastAsia="標楷體" w:hAnsi="標楷體"/>
                <w:bCs/>
                <w:szCs w:val="24"/>
              </w:rPr>
              <w:t>其原因不影響行使股東權</w:t>
            </w:r>
            <w:r w:rsidR="00840F84" w:rsidRPr="00840F84">
              <w:rPr>
                <w:rFonts w:ascii="標楷體" w:eastAsia="標楷體" w:hAnsi="標楷體" w:hint="eastAsia"/>
                <w:bCs/>
                <w:color w:val="FF0000"/>
                <w:szCs w:val="24"/>
                <w:u w:val="single"/>
              </w:rPr>
              <w:t>或受益權</w:t>
            </w:r>
            <w:r w:rsidR="00A437E1" w:rsidRPr="00A437E1">
              <w:rPr>
                <w:rFonts w:ascii="標楷體" w:eastAsia="標楷體" w:hAnsi="標楷體"/>
                <w:bCs/>
                <w:szCs w:val="24"/>
              </w:rPr>
              <w:t>者。</w:t>
            </w:r>
          </w:p>
          <w:p w14:paraId="1AFD3641" w14:textId="77777777" w:rsidR="006C5B31" w:rsidRPr="006C5B31" w:rsidRDefault="00A437E1" w:rsidP="006C5B31">
            <w:pPr>
              <w:spacing w:line="360" w:lineRule="exact"/>
              <w:ind w:firstLine="480"/>
              <w:jc w:val="both"/>
              <w:rPr>
                <w:rFonts w:ascii="標楷體" w:eastAsia="標楷體" w:hAnsi="標楷體"/>
                <w:bCs/>
                <w:szCs w:val="24"/>
              </w:rPr>
            </w:pPr>
            <w:r w:rsidRPr="00A437E1">
              <w:rPr>
                <w:rFonts w:ascii="標楷體" w:eastAsia="標楷體" w:hAnsi="標楷體"/>
                <w:bCs/>
                <w:szCs w:val="24"/>
              </w:rPr>
              <w:t>前項營業日為交易日，</w:t>
            </w:r>
            <w:r w:rsidRPr="00A437E1">
              <w:rPr>
                <w:rFonts w:ascii="標楷體" w:eastAsia="標楷體" w:hAnsi="標楷體"/>
                <w:bCs/>
                <w:szCs w:val="24"/>
              </w:rPr>
              <w:lastRenderedPageBreak/>
              <w:t>但停止過戶開始日訂於農曆春節前最後交易日後之第二個交割日(含)至農曆春節後第二個交易日(含)時，依下列規定辦理</w:t>
            </w:r>
            <w:r>
              <w:rPr>
                <w:rFonts w:ascii="Segoe UI" w:hAnsi="Segoe UI" w:cs="Segoe UI"/>
                <w:color w:val="333333"/>
                <w:sz w:val="19"/>
                <w:szCs w:val="19"/>
                <w:shd w:val="clear" w:color="auto" w:fill="FFFFFF"/>
              </w:rPr>
              <w:t>：</w:t>
            </w:r>
          </w:p>
          <w:p w14:paraId="7F170B1D" w14:textId="77777777" w:rsidR="006C5B31" w:rsidRPr="006C5B31" w:rsidRDefault="00D2578C" w:rsidP="006C5B31">
            <w:pPr>
              <w:spacing w:line="360" w:lineRule="exact"/>
              <w:ind w:left="480" w:hanging="480"/>
              <w:jc w:val="both"/>
              <w:rPr>
                <w:rFonts w:ascii="標楷體" w:eastAsia="標楷體" w:hAnsi="標楷體"/>
                <w:bCs/>
                <w:szCs w:val="24"/>
              </w:rPr>
            </w:pPr>
            <w:r w:rsidRPr="006C5B31">
              <w:rPr>
                <w:rFonts w:ascii="標楷體" w:eastAsia="標楷體" w:hAnsi="標楷體" w:hint="eastAsia"/>
                <w:bCs/>
                <w:szCs w:val="24"/>
              </w:rPr>
              <w:t>一、</w:t>
            </w:r>
            <w:r w:rsidRPr="00D2578C">
              <w:rPr>
                <w:rFonts w:ascii="標楷體" w:eastAsia="標楷體" w:hAnsi="標楷體"/>
                <w:bCs/>
                <w:szCs w:val="24"/>
              </w:rPr>
              <w:t>當停止過戶開始日訂於農曆春節前最後交易日後之第二個交割日時，則最後交易日後之第一個交割日列入營業日計算。</w:t>
            </w:r>
          </w:p>
          <w:p w14:paraId="32125DE2" w14:textId="77777777" w:rsidR="006C5B31" w:rsidRPr="006C5B31" w:rsidRDefault="00D2578C" w:rsidP="006C5B31">
            <w:pPr>
              <w:spacing w:line="360" w:lineRule="exact"/>
              <w:ind w:left="480" w:hanging="480"/>
              <w:jc w:val="both"/>
              <w:rPr>
                <w:rFonts w:ascii="標楷體" w:eastAsia="標楷體" w:hAnsi="標楷體"/>
                <w:bCs/>
                <w:szCs w:val="24"/>
              </w:rPr>
            </w:pPr>
            <w:r w:rsidRPr="006C5B31">
              <w:rPr>
                <w:rFonts w:ascii="標楷體" w:eastAsia="標楷體" w:hAnsi="標楷體" w:hint="eastAsia"/>
                <w:bCs/>
                <w:szCs w:val="24"/>
              </w:rPr>
              <w:t>二、</w:t>
            </w:r>
            <w:r w:rsidRPr="00D2578C">
              <w:rPr>
                <w:rFonts w:ascii="標楷體" w:eastAsia="標楷體" w:hAnsi="標楷體"/>
                <w:bCs/>
                <w:szCs w:val="24"/>
              </w:rPr>
              <w:t>當停止過戶開始日訂於農曆春節假期或農曆春節後第一個交易日時，則最後交易日後之二個交割日皆列入營業日計算。</w:t>
            </w:r>
          </w:p>
          <w:p w14:paraId="05A874CE" w14:textId="77777777" w:rsidR="006C5B31" w:rsidRPr="001D617F" w:rsidRDefault="00D2578C" w:rsidP="006C5B31">
            <w:pPr>
              <w:spacing w:line="360" w:lineRule="exact"/>
              <w:ind w:left="480" w:hanging="480"/>
              <w:jc w:val="both"/>
              <w:rPr>
                <w:rStyle w:val="ad"/>
              </w:rPr>
            </w:pPr>
            <w:r w:rsidRPr="006C5B31">
              <w:rPr>
                <w:rFonts w:ascii="標楷體" w:eastAsia="標楷體" w:hAnsi="標楷體" w:hint="eastAsia"/>
                <w:bCs/>
                <w:szCs w:val="24"/>
              </w:rPr>
              <w:t>三、</w:t>
            </w:r>
            <w:r w:rsidRPr="00D2578C">
              <w:rPr>
                <w:rFonts w:ascii="標楷體" w:eastAsia="標楷體" w:hAnsi="標楷體"/>
                <w:bCs/>
                <w:szCs w:val="24"/>
              </w:rPr>
              <w:t>當停止過戶開始日訂於農曆春節後第一個交易日後之例假日與第二個交易日時，則最後交易日後之第一個交割日列入營業日計算。</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5C42D" w14:textId="77777777" w:rsidR="001F4355" w:rsidRPr="006C5B31" w:rsidRDefault="001F4355" w:rsidP="001F4355">
            <w:pPr>
              <w:spacing w:line="360" w:lineRule="exact"/>
              <w:ind w:left="240" w:hanging="240"/>
              <w:jc w:val="both"/>
              <w:rPr>
                <w:rFonts w:ascii="標楷體" w:eastAsia="標楷體" w:hAnsi="標楷體"/>
                <w:bCs/>
                <w:szCs w:val="24"/>
              </w:rPr>
            </w:pPr>
            <w:r w:rsidRPr="006C5B31">
              <w:rPr>
                <w:rFonts w:ascii="標楷體" w:eastAsia="標楷體" w:hAnsi="標楷體" w:hint="eastAsia"/>
                <w:bCs/>
                <w:szCs w:val="24"/>
              </w:rPr>
              <w:lastRenderedPageBreak/>
              <w:t>第七十六條</w:t>
            </w:r>
          </w:p>
          <w:p w14:paraId="4E93B4CF" w14:textId="77777777" w:rsidR="001F4355" w:rsidRPr="006C5B31" w:rsidRDefault="00A437E1" w:rsidP="001F4355">
            <w:pPr>
              <w:spacing w:line="360" w:lineRule="exact"/>
              <w:ind w:firstLine="480"/>
              <w:jc w:val="both"/>
              <w:rPr>
                <w:rFonts w:ascii="標楷體" w:eastAsia="標楷體" w:hAnsi="標楷體"/>
                <w:bCs/>
                <w:szCs w:val="24"/>
              </w:rPr>
            </w:pPr>
            <w:r w:rsidRPr="00A437E1">
              <w:rPr>
                <w:rFonts w:ascii="標楷體" w:eastAsia="標楷體" w:hAnsi="標楷體"/>
                <w:bCs/>
                <w:szCs w:val="24"/>
              </w:rPr>
              <w:t>得為融資融券之有價證券，自</w:t>
            </w:r>
            <w:r w:rsidRPr="00A437E1">
              <w:rPr>
                <w:rFonts w:ascii="標楷體" w:eastAsia="標楷體" w:hAnsi="標楷體"/>
                <w:bCs/>
                <w:color w:val="FF0000"/>
                <w:szCs w:val="24"/>
                <w:u w:val="single"/>
              </w:rPr>
              <w:t>發行公司</w:t>
            </w:r>
            <w:r w:rsidRPr="00A437E1">
              <w:rPr>
                <w:rFonts w:ascii="標楷體" w:eastAsia="標楷體" w:hAnsi="標楷體"/>
                <w:bCs/>
                <w:szCs w:val="24"/>
              </w:rPr>
              <w:t>停止過戶前六個營業日起，停止融券賣出四日；已融券者，應於停止過戶第六個營業日(含)前，還券了結；已出借者，證券商應請求提前還券，並於最後過戶日(含)前取回。委託人申請以現券償還融券，且券源為向同一證券商申請之有價證券借貸業務借券者，至遲應於停止過戶第七個營業日(含)前提出申請，證券商若無券源，得拒絕之。但</w:t>
            </w:r>
            <w:r w:rsidRPr="00A437E1">
              <w:rPr>
                <w:rFonts w:ascii="標楷體" w:eastAsia="標楷體" w:hAnsi="標楷體"/>
                <w:bCs/>
                <w:color w:val="FF0000"/>
                <w:szCs w:val="24"/>
                <w:u w:val="single"/>
              </w:rPr>
              <w:t>發行公司</w:t>
            </w:r>
            <w:r w:rsidRPr="00A437E1">
              <w:rPr>
                <w:rFonts w:ascii="標楷體" w:eastAsia="標楷體" w:hAnsi="標楷體"/>
                <w:bCs/>
                <w:szCs w:val="24"/>
              </w:rPr>
              <w:t>因下列原因停止過戶者不在此限：</w:t>
            </w:r>
          </w:p>
          <w:p w14:paraId="138C4776" w14:textId="77777777" w:rsidR="001F4355" w:rsidRPr="006C5B31" w:rsidRDefault="001F4355" w:rsidP="001F4355">
            <w:pPr>
              <w:spacing w:line="360" w:lineRule="exact"/>
              <w:ind w:left="480" w:hanging="480"/>
              <w:jc w:val="both"/>
              <w:rPr>
                <w:rFonts w:ascii="標楷體" w:eastAsia="標楷體" w:hAnsi="標楷體"/>
                <w:bCs/>
                <w:szCs w:val="24"/>
              </w:rPr>
            </w:pPr>
            <w:r w:rsidRPr="006C5B31">
              <w:rPr>
                <w:rFonts w:ascii="標楷體" w:eastAsia="標楷體" w:hAnsi="標楷體" w:hint="eastAsia"/>
                <w:bCs/>
                <w:szCs w:val="24"/>
              </w:rPr>
              <w:t>一、</w:t>
            </w:r>
            <w:r w:rsidR="00A437E1" w:rsidRPr="00A437E1">
              <w:rPr>
                <w:rFonts w:ascii="標楷體" w:eastAsia="標楷體" w:hAnsi="標楷體"/>
                <w:bCs/>
                <w:szCs w:val="24"/>
              </w:rPr>
              <w:t>召開臨時股東會。</w:t>
            </w:r>
          </w:p>
          <w:p w14:paraId="079E40AE" w14:textId="77777777" w:rsidR="001F4355" w:rsidRPr="006C5B31" w:rsidRDefault="001F4355" w:rsidP="001F4355">
            <w:pPr>
              <w:spacing w:line="360" w:lineRule="exact"/>
              <w:ind w:left="480" w:hanging="480"/>
              <w:jc w:val="both"/>
              <w:rPr>
                <w:rFonts w:ascii="標楷體" w:eastAsia="標楷體" w:hAnsi="標楷體"/>
                <w:bCs/>
                <w:szCs w:val="24"/>
              </w:rPr>
            </w:pPr>
            <w:r w:rsidRPr="006C5B31">
              <w:rPr>
                <w:rFonts w:ascii="標楷體" w:eastAsia="標楷體" w:hAnsi="標楷體" w:hint="eastAsia"/>
                <w:bCs/>
                <w:szCs w:val="24"/>
              </w:rPr>
              <w:t>二、</w:t>
            </w:r>
            <w:r w:rsidR="00A437E1" w:rsidRPr="00A437E1">
              <w:rPr>
                <w:rFonts w:ascii="標楷體" w:eastAsia="標楷體" w:hAnsi="標楷體"/>
                <w:bCs/>
                <w:szCs w:val="24"/>
              </w:rPr>
              <w:t>其原因不影響行使股東權者。</w:t>
            </w:r>
          </w:p>
          <w:p w14:paraId="5D23F946" w14:textId="77777777" w:rsidR="001F4355" w:rsidRPr="006C5B31" w:rsidRDefault="00A437E1" w:rsidP="001F4355">
            <w:pPr>
              <w:spacing w:line="360" w:lineRule="exact"/>
              <w:ind w:firstLine="480"/>
              <w:jc w:val="both"/>
              <w:rPr>
                <w:rFonts w:ascii="標楷體" w:eastAsia="標楷體" w:hAnsi="標楷體"/>
                <w:bCs/>
                <w:szCs w:val="24"/>
              </w:rPr>
            </w:pPr>
            <w:r w:rsidRPr="00A437E1">
              <w:rPr>
                <w:rFonts w:ascii="標楷體" w:eastAsia="標楷體" w:hAnsi="標楷體"/>
                <w:bCs/>
                <w:szCs w:val="24"/>
              </w:rPr>
              <w:t>前項營業日為交易日，</w:t>
            </w:r>
            <w:r w:rsidRPr="00A437E1">
              <w:rPr>
                <w:rFonts w:ascii="標楷體" w:eastAsia="標楷體" w:hAnsi="標楷體"/>
                <w:bCs/>
                <w:szCs w:val="24"/>
              </w:rPr>
              <w:lastRenderedPageBreak/>
              <w:t>但</w:t>
            </w:r>
            <w:r w:rsidRPr="00A437E1">
              <w:rPr>
                <w:rFonts w:ascii="標楷體" w:eastAsia="標楷體" w:hAnsi="標楷體"/>
                <w:bCs/>
                <w:color w:val="FF0000"/>
                <w:szCs w:val="24"/>
                <w:u w:val="single"/>
              </w:rPr>
              <w:t>發行公司</w:t>
            </w:r>
            <w:r w:rsidRPr="00A437E1">
              <w:rPr>
                <w:rFonts w:ascii="標楷體" w:eastAsia="標楷體" w:hAnsi="標楷體"/>
                <w:bCs/>
                <w:szCs w:val="24"/>
              </w:rPr>
              <w:t>停止過戶開始日訂於農曆春節前最後交易日後之第二個交割日(含)至農曆春節後第二個交易日(含)時，依下列規定辦理</w:t>
            </w:r>
            <w:r>
              <w:rPr>
                <w:rFonts w:ascii="Segoe UI" w:hAnsi="Segoe UI" w:cs="Segoe UI"/>
                <w:color w:val="333333"/>
                <w:sz w:val="19"/>
                <w:szCs w:val="19"/>
                <w:shd w:val="clear" w:color="auto" w:fill="FFFFFF"/>
              </w:rPr>
              <w:t>：</w:t>
            </w:r>
          </w:p>
          <w:p w14:paraId="481ED6C2" w14:textId="77777777" w:rsidR="001F4355" w:rsidRPr="006C5B31" w:rsidRDefault="001F4355" w:rsidP="001F4355">
            <w:pPr>
              <w:spacing w:line="360" w:lineRule="exact"/>
              <w:ind w:left="480" w:hanging="480"/>
              <w:jc w:val="both"/>
              <w:rPr>
                <w:rFonts w:ascii="標楷體" w:eastAsia="標楷體" w:hAnsi="標楷體"/>
                <w:bCs/>
                <w:szCs w:val="24"/>
              </w:rPr>
            </w:pPr>
            <w:r w:rsidRPr="006C5B31">
              <w:rPr>
                <w:rFonts w:ascii="標楷體" w:eastAsia="標楷體" w:hAnsi="標楷體" w:hint="eastAsia"/>
                <w:bCs/>
                <w:szCs w:val="24"/>
              </w:rPr>
              <w:t>一、</w:t>
            </w:r>
            <w:r w:rsidR="00D2578C" w:rsidRPr="00D2578C">
              <w:rPr>
                <w:rFonts w:ascii="標楷體" w:eastAsia="標楷體" w:hAnsi="標楷體"/>
                <w:bCs/>
                <w:szCs w:val="24"/>
              </w:rPr>
              <w:t>當停止過戶開始日訂於農曆春節前最後交易日後之第二個交割日時，則最後交易日後之第一個交割日列入營業日計算。</w:t>
            </w:r>
          </w:p>
          <w:p w14:paraId="6221B2A2" w14:textId="77777777" w:rsidR="001F4355" w:rsidRPr="006C5B31" w:rsidRDefault="001F4355" w:rsidP="001F4355">
            <w:pPr>
              <w:spacing w:line="360" w:lineRule="exact"/>
              <w:ind w:left="480" w:hanging="480"/>
              <w:jc w:val="both"/>
              <w:rPr>
                <w:rFonts w:ascii="標楷體" w:eastAsia="標楷體" w:hAnsi="標楷體"/>
                <w:bCs/>
                <w:szCs w:val="24"/>
              </w:rPr>
            </w:pPr>
            <w:r w:rsidRPr="006C5B31">
              <w:rPr>
                <w:rFonts w:ascii="標楷體" w:eastAsia="標楷體" w:hAnsi="標楷體" w:hint="eastAsia"/>
                <w:bCs/>
                <w:szCs w:val="24"/>
              </w:rPr>
              <w:t>二、</w:t>
            </w:r>
            <w:r w:rsidR="00D2578C" w:rsidRPr="00D2578C">
              <w:rPr>
                <w:rFonts w:ascii="標楷體" w:eastAsia="標楷體" w:hAnsi="標楷體"/>
                <w:bCs/>
                <w:szCs w:val="24"/>
              </w:rPr>
              <w:t>當停止過戶開始日訂於農曆春節假期或農曆春節後第一個交易日時，則最後交易日後之二個交割日皆列入營業日計算。</w:t>
            </w:r>
          </w:p>
          <w:p w14:paraId="41CEC8BE" w14:textId="77777777" w:rsidR="006C5B31" w:rsidRDefault="001F4355" w:rsidP="001F4355">
            <w:pPr>
              <w:spacing w:line="360" w:lineRule="exact"/>
              <w:ind w:left="480" w:hanging="480"/>
              <w:jc w:val="both"/>
              <w:rPr>
                <w:rFonts w:ascii="標楷體" w:eastAsia="標楷體" w:hAnsi="標楷體"/>
                <w:bCs/>
                <w:szCs w:val="24"/>
              </w:rPr>
            </w:pPr>
            <w:r w:rsidRPr="006C5B31">
              <w:rPr>
                <w:rFonts w:ascii="標楷體" w:eastAsia="標楷體" w:hAnsi="標楷體" w:hint="eastAsia"/>
                <w:bCs/>
                <w:szCs w:val="24"/>
              </w:rPr>
              <w:t>三、</w:t>
            </w:r>
            <w:r w:rsidR="00D2578C" w:rsidRPr="00D2578C">
              <w:rPr>
                <w:rFonts w:ascii="標楷體" w:eastAsia="標楷體" w:hAnsi="標楷體"/>
                <w:bCs/>
                <w:szCs w:val="24"/>
              </w:rPr>
              <w:t>當停止過戶開始日訂於農曆春節後第一個交易日後之例假日與第二個交易日時，則最後交易日後之第一個交割日列入營業日計算。</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7FD56" w14:textId="77777777" w:rsidR="006C5B31" w:rsidRDefault="00473553" w:rsidP="006A4F56">
            <w:pPr>
              <w:pStyle w:val="a7"/>
              <w:spacing w:line="360" w:lineRule="exact"/>
              <w:ind w:left="0"/>
              <w:jc w:val="both"/>
              <w:rPr>
                <w:rFonts w:ascii="標楷體" w:eastAsia="標楷體" w:hAnsi="標楷體"/>
                <w:szCs w:val="24"/>
              </w:rPr>
            </w:pPr>
            <w:r w:rsidRPr="00473553">
              <w:rPr>
                <w:rFonts w:ascii="標楷體" w:eastAsia="標楷體" w:hAnsi="標楷體" w:hint="eastAsia"/>
                <w:szCs w:val="24"/>
              </w:rPr>
              <w:lastRenderedPageBreak/>
              <w:t>本條有關停止過戶之停止融券及還券了結之規範主體係得為融資融券之有價證券，非發行公司本身；另得為融資融券之有價證券</w:t>
            </w:r>
            <w:r w:rsidR="006A4F56">
              <w:rPr>
                <w:rFonts w:ascii="標楷體" w:eastAsia="標楷體" w:hAnsi="標楷體" w:hint="eastAsia"/>
                <w:szCs w:val="24"/>
              </w:rPr>
              <w:t>除</w:t>
            </w:r>
            <w:r w:rsidR="006A4F56" w:rsidRPr="00473553">
              <w:rPr>
                <w:rFonts w:ascii="標楷體" w:eastAsia="標楷體" w:hAnsi="標楷體" w:hint="eastAsia"/>
                <w:szCs w:val="24"/>
              </w:rPr>
              <w:t>上市(櫃)公司所發行之普通股股票</w:t>
            </w:r>
            <w:r w:rsidR="006A4F56">
              <w:rPr>
                <w:rFonts w:ascii="標楷體" w:eastAsia="標楷體" w:hAnsi="標楷體" w:hint="eastAsia"/>
                <w:szCs w:val="24"/>
              </w:rPr>
              <w:t>外，</w:t>
            </w:r>
            <w:r w:rsidRPr="00473553">
              <w:rPr>
                <w:rFonts w:ascii="標楷體" w:eastAsia="標楷體" w:hAnsi="標楷體" w:hint="eastAsia"/>
                <w:szCs w:val="24"/>
              </w:rPr>
              <w:t>尚有臺灣存託憑證及受益憑證，為使條文更臻明確及完善，爰修正第一項及第二項。</w:t>
            </w:r>
          </w:p>
        </w:tc>
      </w:tr>
      <w:tr w:rsidR="00537A1C" w14:paraId="7137AEE8"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453C9" w14:textId="77777777" w:rsidR="00E14E35" w:rsidRPr="00E14E35" w:rsidRDefault="00E14E35" w:rsidP="00E14E35">
            <w:pPr>
              <w:spacing w:line="360" w:lineRule="exact"/>
              <w:ind w:left="240" w:hanging="240"/>
              <w:jc w:val="both"/>
              <w:rPr>
                <w:rFonts w:ascii="標楷體" w:eastAsia="標楷體" w:hAnsi="標楷體"/>
                <w:bCs/>
                <w:szCs w:val="24"/>
              </w:rPr>
            </w:pPr>
            <w:r w:rsidRPr="00E14E35">
              <w:rPr>
                <w:rFonts w:ascii="標楷體" w:eastAsia="標楷體" w:hAnsi="標楷體" w:hint="eastAsia"/>
                <w:bCs/>
                <w:szCs w:val="24"/>
              </w:rPr>
              <w:t>第七十九條</w:t>
            </w:r>
          </w:p>
          <w:p w14:paraId="27FF209C" w14:textId="77777777" w:rsidR="009D1AA8" w:rsidRDefault="009D1AA8" w:rsidP="00E14E35">
            <w:pPr>
              <w:spacing w:line="360" w:lineRule="exact"/>
              <w:ind w:firstLine="480"/>
              <w:jc w:val="both"/>
              <w:rPr>
                <w:rFonts w:ascii="標楷體" w:eastAsia="標楷體" w:hAnsi="標楷體"/>
                <w:bCs/>
                <w:szCs w:val="24"/>
              </w:rPr>
            </w:pPr>
            <w:r w:rsidRPr="00FA1903">
              <w:rPr>
                <w:rFonts w:ascii="標楷體" w:eastAsia="標楷體" w:hAnsi="標楷體"/>
                <w:bCs/>
                <w:szCs w:val="24"/>
              </w:rPr>
              <w:t>證券商應於</w:t>
            </w:r>
            <w:r w:rsidRPr="00E14E35">
              <w:rPr>
                <w:rFonts w:ascii="標楷體" w:eastAsia="標楷體" w:hAnsi="標楷體" w:hint="eastAsia"/>
                <w:bCs/>
                <w:color w:val="FF0000"/>
                <w:szCs w:val="24"/>
                <w:u w:val="single"/>
              </w:rPr>
              <w:t>有價證券</w:t>
            </w:r>
            <w:r w:rsidRPr="00FA1903">
              <w:rPr>
                <w:rFonts w:ascii="標楷體" w:eastAsia="標楷體" w:hAnsi="標楷體"/>
                <w:bCs/>
                <w:szCs w:val="24"/>
              </w:rPr>
              <w:t>停止過戶日或開放式</w:t>
            </w:r>
            <w:r w:rsidR="00681F4A" w:rsidRPr="00244095">
              <w:rPr>
                <w:rFonts w:ascii="標楷體" w:eastAsia="標楷體" w:hAnsi="標楷體" w:hint="eastAsia"/>
                <w:bCs/>
                <w:color w:val="FF0000"/>
                <w:szCs w:val="24"/>
                <w:u w:val="single"/>
              </w:rPr>
              <w:t>證券投資信託</w:t>
            </w:r>
            <w:r w:rsidRPr="00FA1903">
              <w:rPr>
                <w:rFonts w:ascii="標楷體" w:eastAsia="標楷體" w:hAnsi="標楷體"/>
                <w:bCs/>
                <w:szCs w:val="24"/>
              </w:rPr>
              <w:t>基金受益憑證</w:t>
            </w:r>
            <w:r w:rsidR="00681F4A" w:rsidRPr="00244095">
              <w:rPr>
                <w:rFonts w:ascii="標楷體" w:eastAsia="標楷體" w:hAnsi="標楷體" w:hint="eastAsia"/>
                <w:bCs/>
                <w:color w:val="FF0000"/>
                <w:szCs w:val="24"/>
                <w:u w:val="single"/>
              </w:rPr>
              <w:t>及期貨信託基金受益憑證</w:t>
            </w:r>
            <w:r w:rsidRPr="00FA1903">
              <w:rPr>
                <w:rFonts w:ascii="標楷體" w:eastAsia="標楷體" w:hAnsi="標楷體"/>
                <w:bCs/>
                <w:szCs w:val="24"/>
              </w:rPr>
              <w:t>付息日前一個營業日，將委託人信用帳戶融資買進及提供抵繳之有價證券，編製過戶或領息清冊連同媒體資料送交證券集中保管事業代向發行公司或其股務代理機構辦理過戶。但因召開臨時股東會停止過戶者，委託人信用帳戶融資買進之該</w:t>
            </w:r>
            <w:r w:rsidR="00681F4A" w:rsidRPr="00E14E35">
              <w:rPr>
                <w:rFonts w:ascii="標楷體" w:eastAsia="標楷體" w:hAnsi="標楷體" w:hint="eastAsia"/>
                <w:bCs/>
                <w:color w:val="FF0000"/>
                <w:szCs w:val="24"/>
                <w:u w:val="single"/>
              </w:rPr>
              <w:t>有價證券</w:t>
            </w:r>
            <w:r w:rsidRPr="00FA1903">
              <w:rPr>
                <w:rFonts w:ascii="標楷體" w:eastAsia="標楷體" w:hAnsi="標楷體"/>
                <w:bCs/>
                <w:szCs w:val="24"/>
              </w:rPr>
              <w:t>過戶股數</w:t>
            </w:r>
            <w:r w:rsidR="00681F4A" w:rsidRPr="00E14E35">
              <w:rPr>
                <w:rFonts w:ascii="標楷體" w:eastAsia="標楷體" w:hAnsi="標楷體" w:hint="eastAsia"/>
                <w:bCs/>
                <w:color w:val="FF0000"/>
                <w:szCs w:val="24"/>
                <w:u w:val="single"/>
              </w:rPr>
              <w:t>或單位數</w:t>
            </w:r>
            <w:r w:rsidRPr="00FA1903">
              <w:rPr>
                <w:rFonts w:ascii="標楷體" w:eastAsia="標楷體" w:hAnsi="標楷體"/>
                <w:bCs/>
                <w:szCs w:val="24"/>
              </w:rPr>
              <w:t>，證券商應依臨時</w:t>
            </w:r>
            <w:r w:rsidRPr="00FA1903">
              <w:rPr>
                <w:rFonts w:ascii="標楷體" w:eastAsia="標楷體" w:hAnsi="標楷體"/>
                <w:bCs/>
                <w:szCs w:val="24"/>
              </w:rPr>
              <w:lastRenderedPageBreak/>
              <w:t>股東會計算融資人過戶股數作業要點之規定辦理。</w:t>
            </w:r>
          </w:p>
          <w:p w14:paraId="0192CB4E" w14:textId="77777777" w:rsidR="00537A1C" w:rsidRPr="006C5B31" w:rsidRDefault="00FA1903" w:rsidP="00E14E35">
            <w:pPr>
              <w:spacing w:line="360" w:lineRule="exact"/>
              <w:ind w:firstLine="480"/>
              <w:jc w:val="both"/>
              <w:rPr>
                <w:rFonts w:ascii="標楷體" w:eastAsia="標楷體" w:hAnsi="標楷體"/>
                <w:bCs/>
                <w:szCs w:val="24"/>
              </w:rPr>
            </w:pPr>
            <w:r w:rsidRPr="00FA1903">
              <w:rPr>
                <w:rFonts w:ascii="標楷體" w:eastAsia="標楷體" w:hAnsi="標楷體"/>
                <w:bCs/>
                <w:szCs w:val="24"/>
              </w:rPr>
              <w:t>委託人以中央登錄公債為抵繳有價證券者，遇有付息時，得由證券商透過中央登錄債券清算銀行代為領取並應於付息日之次一營業日前，依雙方約定扣除代扣繳稅款後之款項撥還客戶。</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E1F83" w14:textId="77777777" w:rsidR="00E14E35" w:rsidRPr="006E4984" w:rsidRDefault="00E14E35" w:rsidP="006E4984">
            <w:pPr>
              <w:spacing w:line="360" w:lineRule="exact"/>
              <w:ind w:left="240" w:hanging="240"/>
              <w:jc w:val="both"/>
              <w:rPr>
                <w:rFonts w:ascii="標楷體" w:eastAsia="標楷體" w:hAnsi="標楷體"/>
                <w:bCs/>
                <w:szCs w:val="24"/>
              </w:rPr>
            </w:pPr>
            <w:r w:rsidRPr="006E4984">
              <w:rPr>
                <w:rFonts w:ascii="標楷體" w:eastAsia="標楷體" w:hAnsi="標楷體" w:hint="eastAsia"/>
                <w:bCs/>
                <w:szCs w:val="24"/>
              </w:rPr>
              <w:lastRenderedPageBreak/>
              <w:t>第七十九條</w:t>
            </w:r>
          </w:p>
          <w:p w14:paraId="225BDCEE" w14:textId="77777777" w:rsidR="00FA1903" w:rsidRPr="00FA1903" w:rsidRDefault="00FA1903" w:rsidP="00FA1903">
            <w:pPr>
              <w:spacing w:line="360" w:lineRule="exact"/>
              <w:ind w:firstLine="480"/>
              <w:jc w:val="both"/>
              <w:rPr>
                <w:rFonts w:ascii="Segoe UI" w:hAnsi="Segoe UI" w:cs="Segoe UI"/>
                <w:color w:val="333333"/>
                <w:kern w:val="0"/>
                <w:sz w:val="19"/>
                <w:szCs w:val="19"/>
              </w:rPr>
            </w:pPr>
            <w:r w:rsidRPr="00FA1903">
              <w:rPr>
                <w:rFonts w:ascii="標楷體" w:eastAsia="標楷體" w:hAnsi="標楷體"/>
                <w:bCs/>
                <w:szCs w:val="24"/>
              </w:rPr>
              <w:t>證券商應於</w:t>
            </w:r>
            <w:r w:rsidRPr="00D9302C">
              <w:rPr>
                <w:rFonts w:ascii="標楷體" w:eastAsia="標楷體" w:hAnsi="標楷體"/>
                <w:bCs/>
                <w:color w:val="000000" w:themeColor="text1"/>
                <w:szCs w:val="24"/>
              </w:rPr>
              <w:t>發行公司</w:t>
            </w:r>
            <w:r w:rsidRPr="00FA1903">
              <w:rPr>
                <w:rFonts w:ascii="標楷體" w:eastAsia="標楷體" w:hAnsi="標楷體"/>
                <w:bCs/>
                <w:szCs w:val="24"/>
              </w:rPr>
              <w:t>停止過戶日或開放式基金受益憑證付息日前一個營業日，將委託人信用帳戶融資買進及提供抵繳之有價證券，編製過戶或領息清冊連同媒體資料送交證券集中保管事業代向發行公司或其股務代理機構辦理過戶。但</w:t>
            </w:r>
            <w:r w:rsidRPr="00FA1903">
              <w:rPr>
                <w:rFonts w:ascii="標楷體" w:eastAsia="標楷體" w:hAnsi="標楷體"/>
                <w:bCs/>
                <w:color w:val="FF0000"/>
                <w:szCs w:val="24"/>
                <w:u w:val="single"/>
              </w:rPr>
              <w:t>發行公司</w:t>
            </w:r>
            <w:r w:rsidRPr="00FA1903">
              <w:rPr>
                <w:rFonts w:ascii="標楷體" w:eastAsia="標楷體" w:hAnsi="標楷體"/>
                <w:bCs/>
                <w:szCs w:val="24"/>
              </w:rPr>
              <w:t>因召開臨時股東會停止過戶者，委託人信用帳戶融資買進之該</w:t>
            </w:r>
            <w:r w:rsidRPr="00D9302C">
              <w:rPr>
                <w:rFonts w:ascii="標楷體" w:eastAsia="標楷體" w:hAnsi="標楷體"/>
                <w:bCs/>
                <w:color w:val="000000" w:themeColor="text1"/>
                <w:szCs w:val="24"/>
              </w:rPr>
              <w:t>股票</w:t>
            </w:r>
            <w:r w:rsidRPr="00FA1903">
              <w:rPr>
                <w:rFonts w:ascii="標楷體" w:eastAsia="標楷體" w:hAnsi="標楷體"/>
                <w:bCs/>
                <w:szCs w:val="24"/>
              </w:rPr>
              <w:t>過戶股數，證券商應依臨時股東會計算融資人過戶股數作業要點之規定</w:t>
            </w:r>
            <w:r w:rsidRPr="00FA1903">
              <w:rPr>
                <w:rFonts w:ascii="標楷體" w:eastAsia="標楷體" w:hAnsi="標楷體"/>
                <w:bCs/>
                <w:szCs w:val="24"/>
              </w:rPr>
              <w:lastRenderedPageBreak/>
              <w:t>辦理。</w:t>
            </w:r>
          </w:p>
          <w:p w14:paraId="39374A89" w14:textId="77777777" w:rsidR="00A5781D" w:rsidRPr="006E4984" w:rsidRDefault="00A5781D" w:rsidP="006E4984">
            <w:pPr>
              <w:spacing w:line="360" w:lineRule="exact"/>
              <w:ind w:firstLine="480"/>
              <w:jc w:val="both"/>
              <w:rPr>
                <w:rFonts w:ascii="標楷體" w:eastAsia="標楷體" w:hAnsi="標楷體"/>
                <w:bCs/>
                <w:szCs w:val="24"/>
              </w:rPr>
            </w:pPr>
          </w:p>
          <w:p w14:paraId="19334CD4" w14:textId="77777777" w:rsidR="00537A1C" w:rsidRPr="00FA1903" w:rsidRDefault="00FA1903" w:rsidP="00A5781D">
            <w:pPr>
              <w:spacing w:line="360" w:lineRule="exact"/>
              <w:ind w:firstLine="480"/>
              <w:jc w:val="both"/>
              <w:rPr>
                <w:rFonts w:ascii="標楷體" w:eastAsia="標楷體" w:hAnsi="標楷體"/>
                <w:bCs/>
                <w:szCs w:val="24"/>
              </w:rPr>
            </w:pPr>
            <w:r w:rsidRPr="00FA1903">
              <w:rPr>
                <w:rFonts w:ascii="標楷體" w:eastAsia="標楷體" w:hAnsi="標楷體"/>
                <w:bCs/>
                <w:szCs w:val="24"/>
              </w:rPr>
              <w:t>委託人以中央登錄公債為抵繳有價證券者，遇有付息時，得由證券商透過中央登錄債券清算銀行代為領取並應於付息日之次一營業日前，依雙方約定扣除代扣繳稅款後之款項撥還客戶。</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7196F" w14:textId="77777777" w:rsidR="00537A1C" w:rsidRPr="00473553" w:rsidRDefault="006E4984" w:rsidP="006C5B31">
            <w:pPr>
              <w:pStyle w:val="a7"/>
              <w:spacing w:line="360" w:lineRule="exact"/>
              <w:ind w:left="0"/>
              <w:jc w:val="both"/>
              <w:rPr>
                <w:rFonts w:ascii="標楷體" w:eastAsia="標楷體" w:hAnsi="標楷體"/>
                <w:szCs w:val="24"/>
              </w:rPr>
            </w:pPr>
            <w:r w:rsidRPr="006E4984">
              <w:rPr>
                <w:rFonts w:ascii="標楷體" w:eastAsia="標楷體" w:hAnsi="標楷體" w:hint="eastAsia"/>
                <w:szCs w:val="24"/>
              </w:rPr>
              <w:lastRenderedPageBreak/>
              <w:t>配合第六十條及第七十六條修正，爰併同修正第一項。</w:t>
            </w:r>
          </w:p>
        </w:tc>
      </w:tr>
      <w:tr w:rsidR="00096660" w14:paraId="21A22517" w14:textId="77777777" w:rsidTr="00E84026">
        <w:tc>
          <w:tcPr>
            <w:tcW w:w="32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DF697" w14:textId="77777777" w:rsidR="00096660" w:rsidRPr="00096660" w:rsidRDefault="00096660" w:rsidP="00096660">
            <w:pPr>
              <w:spacing w:line="360" w:lineRule="exact"/>
              <w:ind w:left="240" w:hanging="240"/>
              <w:jc w:val="both"/>
              <w:rPr>
                <w:rFonts w:ascii="標楷體" w:eastAsia="標楷體" w:hAnsi="標楷體"/>
                <w:bCs/>
                <w:szCs w:val="24"/>
              </w:rPr>
            </w:pPr>
            <w:r w:rsidRPr="00096660">
              <w:rPr>
                <w:rFonts w:ascii="標楷體" w:eastAsia="標楷體" w:hAnsi="標楷體" w:hint="eastAsia"/>
                <w:bCs/>
                <w:szCs w:val="24"/>
              </w:rPr>
              <w:t>第八十一條</w:t>
            </w:r>
          </w:p>
          <w:p w14:paraId="6429BF84" w14:textId="77777777" w:rsidR="00096660" w:rsidRPr="00096660" w:rsidRDefault="00096660" w:rsidP="00096660">
            <w:pPr>
              <w:spacing w:line="360" w:lineRule="exact"/>
              <w:jc w:val="center"/>
              <w:rPr>
                <w:rFonts w:ascii="標楷體" w:eastAsia="標楷體" w:hAnsi="標楷體"/>
                <w:bCs/>
                <w:szCs w:val="24"/>
              </w:rPr>
            </w:pPr>
            <w:r w:rsidRPr="00096660">
              <w:rPr>
                <w:rFonts w:ascii="標楷體" w:eastAsia="標楷體" w:hAnsi="標楷體" w:hint="eastAsia"/>
                <w:bCs/>
                <w:szCs w:val="24"/>
              </w:rPr>
              <w:t>(第一、二項略)</w:t>
            </w:r>
          </w:p>
          <w:p w14:paraId="30A521CB" w14:textId="77777777" w:rsidR="001A4F79" w:rsidRDefault="001A4F79" w:rsidP="00096660">
            <w:pPr>
              <w:spacing w:line="360" w:lineRule="exact"/>
              <w:ind w:firstLine="480"/>
              <w:jc w:val="both"/>
              <w:rPr>
                <w:rFonts w:ascii="標楷體" w:eastAsia="標楷體" w:hAnsi="標楷體"/>
                <w:bCs/>
                <w:szCs w:val="24"/>
              </w:rPr>
            </w:pPr>
            <w:r w:rsidRPr="001A4F79">
              <w:rPr>
                <w:rFonts w:ascii="標楷體" w:eastAsia="標楷體" w:hAnsi="標楷體"/>
                <w:bCs/>
                <w:szCs w:val="24"/>
              </w:rPr>
              <w:t>委託人有第一項及第二項情事時，證券商應自次一營業日起，於證券交易所集中市場、透過櫃檯買賣中心交易系統或參加標購競賣委託他證券經紀商以其開立之「融資融券違約處理專戶」處分其擔保品及抵繳有價證券或其他商品。但委託人以中央登錄公債、地方政府債券、公司債、金融債為抵繳有價證券者，證券商得與債券自營商於營業處所以議價交易方式處分；委託人以開放式</w:t>
            </w:r>
            <w:r w:rsidRPr="00004D1B">
              <w:rPr>
                <w:rFonts w:ascii="標楷體" w:eastAsia="標楷體" w:hAnsi="標楷體" w:hint="eastAsia"/>
                <w:bCs/>
                <w:color w:val="FF0000"/>
                <w:szCs w:val="24"/>
                <w:u w:val="single"/>
              </w:rPr>
              <w:t>證券投資信託</w:t>
            </w:r>
            <w:r w:rsidRPr="001A4F79">
              <w:rPr>
                <w:rFonts w:ascii="標楷體" w:eastAsia="標楷體" w:hAnsi="標楷體"/>
                <w:bCs/>
                <w:szCs w:val="24"/>
              </w:rPr>
              <w:t>基金受益憑證</w:t>
            </w:r>
            <w:r w:rsidRPr="00004D1B">
              <w:rPr>
                <w:rFonts w:ascii="標楷體" w:eastAsia="標楷體" w:hAnsi="標楷體" w:hint="eastAsia"/>
                <w:bCs/>
                <w:color w:val="FF0000"/>
                <w:szCs w:val="24"/>
                <w:u w:val="single"/>
              </w:rPr>
              <w:t>及期貨信託基金受益憑證</w:t>
            </w:r>
            <w:r w:rsidRPr="001A4F79">
              <w:rPr>
                <w:rFonts w:ascii="標楷體" w:eastAsia="標楷體" w:hAnsi="標楷體"/>
                <w:bCs/>
                <w:szCs w:val="24"/>
              </w:rPr>
              <w:t>為抵繳有價證券者，證券商得以向證券投資信託事業買回方式處分。</w:t>
            </w:r>
          </w:p>
          <w:p w14:paraId="4A0E2DC1" w14:textId="77777777" w:rsidR="00096660" w:rsidRPr="00E14E35" w:rsidRDefault="00096660" w:rsidP="00096660">
            <w:pPr>
              <w:spacing w:line="360" w:lineRule="exact"/>
              <w:jc w:val="center"/>
              <w:rPr>
                <w:rFonts w:ascii="標楷體" w:eastAsia="標楷體" w:hAnsi="標楷體"/>
                <w:bCs/>
                <w:szCs w:val="24"/>
              </w:rPr>
            </w:pPr>
            <w:r w:rsidRPr="00096660">
              <w:rPr>
                <w:rFonts w:ascii="標楷體" w:eastAsia="標楷體" w:hAnsi="標楷體" w:hint="eastAsia"/>
                <w:bCs/>
                <w:szCs w:val="24"/>
              </w:rPr>
              <w:t>(第四、五項略)</w:t>
            </w:r>
          </w:p>
        </w:tc>
        <w:tc>
          <w:tcPr>
            <w:tcW w:w="3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E2A1E" w14:textId="77777777" w:rsidR="00EA781C" w:rsidRPr="00096660" w:rsidRDefault="00EA781C" w:rsidP="00EA781C">
            <w:pPr>
              <w:spacing w:line="360" w:lineRule="exact"/>
              <w:ind w:left="240" w:hanging="240"/>
              <w:jc w:val="both"/>
              <w:rPr>
                <w:rFonts w:ascii="標楷體" w:eastAsia="標楷體" w:hAnsi="標楷體"/>
                <w:bCs/>
                <w:szCs w:val="24"/>
              </w:rPr>
            </w:pPr>
            <w:r w:rsidRPr="00096660">
              <w:rPr>
                <w:rFonts w:ascii="標楷體" w:eastAsia="標楷體" w:hAnsi="標楷體" w:hint="eastAsia"/>
                <w:bCs/>
                <w:szCs w:val="24"/>
              </w:rPr>
              <w:t>第八十一條</w:t>
            </w:r>
          </w:p>
          <w:p w14:paraId="5DA2950B" w14:textId="77777777" w:rsidR="00EA781C" w:rsidRPr="00096660" w:rsidRDefault="00EA781C" w:rsidP="00EA781C">
            <w:pPr>
              <w:spacing w:line="360" w:lineRule="exact"/>
              <w:jc w:val="center"/>
              <w:rPr>
                <w:rFonts w:ascii="標楷體" w:eastAsia="標楷體" w:hAnsi="標楷體"/>
                <w:bCs/>
                <w:szCs w:val="24"/>
              </w:rPr>
            </w:pPr>
            <w:r w:rsidRPr="00096660">
              <w:rPr>
                <w:rFonts w:ascii="標楷體" w:eastAsia="標楷體" w:hAnsi="標楷體" w:hint="eastAsia"/>
                <w:bCs/>
                <w:szCs w:val="24"/>
              </w:rPr>
              <w:t>(第一、二項略)</w:t>
            </w:r>
          </w:p>
          <w:p w14:paraId="413CA029" w14:textId="77777777" w:rsidR="001A4F79" w:rsidRPr="001A4F79" w:rsidRDefault="001A4F79" w:rsidP="001A4F79">
            <w:pPr>
              <w:spacing w:line="360" w:lineRule="exact"/>
              <w:ind w:firstLine="480"/>
              <w:jc w:val="both"/>
              <w:rPr>
                <w:rFonts w:ascii="Segoe UI" w:hAnsi="Segoe UI" w:cs="Segoe UI"/>
                <w:color w:val="333333"/>
                <w:kern w:val="0"/>
                <w:sz w:val="19"/>
                <w:szCs w:val="19"/>
              </w:rPr>
            </w:pPr>
            <w:r w:rsidRPr="001A4F79">
              <w:rPr>
                <w:rFonts w:ascii="標楷體" w:eastAsia="標楷體" w:hAnsi="標楷體"/>
                <w:bCs/>
                <w:szCs w:val="24"/>
              </w:rPr>
              <w:t>委託人有第一項及第二項情事時，證券商應自次一營業日起，於證券交易所集中市場、透過櫃檯買賣中心交易系統或參加標購競賣委託他證券經紀商以其開立之「融資融券違約處理專戶」處分其擔保品及抵繳有價證券或其他商品。但委託人以中央登錄公債、地方政府債券、公司債、金融債為抵繳有價證券者，證券商得與債券自營商於營業處所以議價交易方式處分；委託人以開放式基金受益憑證為抵繳有價證券者，證券商得以向證券投資信託事業買回方式處分。</w:t>
            </w:r>
          </w:p>
          <w:p w14:paraId="4DD92494" w14:textId="77777777" w:rsidR="00EA781C" w:rsidRPr="00EA781C" w:rsidRDefault="00EA781C" w:rsidP="00EA781C">
            <w:pPr>
              <w:spacing w:line="360" w:lineRule="exact"/>
              <w:ind w:firstLine="480"/>
              <w:jc w:val="both"/>
              <w:rPr>
                <w:rFonts w:ascii="標楷體" w:eastAsia="標楷體" w:hAnsi="標楷體"/>
                <w:bCs/>
                <w:szCs w:val="24"/>
              </w:rPr>
            </w:pPr>
          </w:p>
          <w:p w14:paraId="1E5D19E2" w14:textId="77777777" w:rsidR="00096660" w:rsidRPr="006E4984" w:rsidRDefault="00EA781C" w:rsidP="00EA781C">
            <w:pPr>
              <w:spacing w:line="360" w:lineRule="exact"/>
              <w:jc w:val="center"/>
              <w:rPr>
                <w:rFonts w:ascii="標楷體" w:eastAsia="標楷體" w:hAnsi="標楷體"/>
                <w:bCs/>
                <w:szCs w:val="24"/>
              </w:rPr>
            </w:pPr>
            <w:r w:rsidRPr="00096660">
              <w:rPr>
                <w:rFonts w:ascii="標楷體" w:eastAsia="標楷體" w:hAnsi="標楷體" w:hint="eastAsia"/>
                <w:bCs/>
                <w:szCs w:val="24"/>
              </w:rPr>
              <w:t>(第四、五項略)</w:t>
            </w:r>
          </w:p>
        </w:tc>
        <w:tc>
          <w:tcPr>
            <w:tcW w:w="32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6BDF4" w14:textId="77777777" w:rsidR="00096660" w:rsidRPr="006E4984" w:rsidRDefault="009D757A" w:rsidP="006C5B31">
            <w:pPr>
              <w:pStyle w:val="a7"/>
              <w:spacing w:line="360" w:lineRule="exact"/>
              <w:ind w:left="0"/>
              <w:jc w:val="both"/>
              <w:rPr>
                <w:rFonts w:ascii="標楷體" w:eastAsia="標楷體" w:hAnsi="標楷體"/>
                <w:szCs w:val="24"/>
              </w:rPr>
            </w:pPr>
            <w:r w:rsidRPr="009D757A">
              <w:rPr>
                <w:rFonts w:ascii="標楷體" w:eastAsia="標楷體" w:hAnsi="標楷體" w:hint="eastAsia"/>
                <w:szCs w:val="24"/>
              </w:rPr>
              <w:t>為使法規用語一致</w:t>
            </w:r>
            <w:r w:rsidRPr="009D757A">
              <w:rPr>
                <w:rFonts w:ascii="標楷體" w:eastAsia="標楷體" w:hAnsi="標楷體"/>
                <w:szCs w:val="24"/>
              </w:rPr>
              <w:t>，</w:t>
            </w:r>
            <w:r w:rsidRPr="009D757A">
              <w:rPr>
                <w:rFonts w:ascii="標楷體" w:eastAsia="標楷體" w:hAnsi="標楷體" w:hint="eastAsia"/>
                <w:szCs w:val="24"/>
              </w:rPr>
              <w:t>酌修第三項部分文字，以臻明確。</w:t>
            </w:r>
          </w:p>
        </w:tc>
      </w:tr>
    </w:tbl>
    <w:p w14:paraId="6475A91D" w14:textId="77777777" w:rsidR="00020800" w:rsidRDefault="00020800">
      <w:pPr>
        <w:pageBreakBefore/>
      </w:pPr>
    </w:p>
    <w:p w14:paraId="10E59B80" w14:textId="77777777" w:rsidR="009D757A" w:rsidRDefault="00DC08BB" w:rsidP="009D757A">
      <w:pPr>
        <w:spacing w:line="400" w:lineRule="exact"/>
        <w:jc w:val="center"/>
        <w:rPr>
          <w:rFonts w:ascii="標楷體" w:eastAsia="標楷體" w:hAnsi="標楷體"/>
          <w:sz w:val="32"/>
          <w:szCs w:val="32"/>
        </w:rPr>
      </w:pPr>
      <w:r>
        <w:rPr>
          <w:rFonts w:ascii="標楷體" w:eastAsia="標楷體" w:hAnsi="標楷體"/>
          <w:sz w:val="32"/>
          <w:szCs w:val="32"/>
        </w:rPr>
        <w:t>證券商辦理有價證券買賣融資融券契約書</w:t>
      </w:r>
    </w:p>
    <w:p w14:paraId="538B286F" w14:textId="2739E7AE" w:rsidR="00020800" w:rsidRDefault="009D757A" w:rsidP="009D757A">
      <w:pPr>
        <w:spacing w:line="400" w:lineRule="exact"/>
        <w:jc w:val="center"/>
        <w:rPr>
          <w:rFonts w:ascii="標楷體" w:eastAsia="標楷體" w:hAnsi="標楷體"/>
          <w:sz w:val="32"/>
          <w:szCs w:val="32"/>
        </w:rPr>
      </w:pPr>
      <w:r>
        <w:rPr>
          <w:rFonts w:ascii="標楷體" w:eastAsia="標楷體" w:hAnsi="標楷體"/>
          <w:sz w:val="32"/>
          <w:szCs w:val="32"/>
        </w:rPr>
        <w:t>部分條文</w:t>
      </w:r>
      <w:r w:rsidR="00DC08BB">
        <w:rPr>
          <w:rFonts w:ascii="標楷體" w:eastAsia="標楷體" w:hAnsi="標楷體"/>
          <w:sz w:val="32"/>
          <w:szCs w:val="32"/>
        </w:rPr>
        <w:t>修正條文對照表</w:t>
      </w:r>
    </w:p>
    <w:tbl>
      <w:tblPr>
        <w:tblW w:w="5000" w:type="pct"/>
        <w:tblCellMar>
          <w:left w:w="10" w:type="dxa"/>
          <w:right w:w="10" w:type="dxa"/>
        </w:tblCellMar>
        <w:tblLook w:val="0000" w:firstRow="0" w:lastRow="0" w:firstColumn="0" w:lastColumn="0" w:noHBand="0" w:noVBand="0"/>
      </w:tblPr>
      <w:tblGrid>
        <w:gridCol w:w="3212"/>
        <w:gridCol w:w="3211"/>
        <w:gridCol w:w="3205"/>
      </w:tblGrid>
      <w:tr w:rsidR="00020800" w14:paraId="6E4BF8BC" w14:textId="77777777">
        <w:trPr>
          <w:tblHeader/>
        </w:trPr>
        <w:tc>
          <w:tcPr>
            <w:tcW w:w="3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B073D" w14:textId="77777777" w:rsidR="00020800" w:rsidRDefault="00DC08BB">
            <w:pPr>
              <w:spacing w:line="360" w:lineRule="exact"/>
              <w:jc w:val="center"/>
              <w:rPr>
                <w:rFonts w:ascii="標楷體" w:eastAsia="標楷體" w:hAnsi="標楷體"/>
                <w:szCs w:val="24"/>
              </w:rPr>
            </w:pPr>
            <w:r>
              <w:rPr>
                <w:rFonts w:ascii="標楷體" w:eastAsia="標楷體" w:hAnsi="標楷體"/>
                <w:szCs w:val="24"/>
              </w:rPr>
              <w:t>修正條文</w:t>
            </w:r>
          </w:p>
        </w:tc>
        <w:tc>
          <w:tcPr>
            <w:tcW w:w="3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16BA2" w14:textId="77777777" w:rsidR="00020800" w:rsidRDefault="00DC08BB">
            <w:pPr>
              <w:spacing w:line="360" w:lineRule="exact"/>
              <w:jc w:val="center"/>
              <w:rPr>
                <w:rFonts w:ascii="標楷體" w:eastAsia="標楷體" w:hAnsi="標楷體"/>
                <w:szCs w:val="24"/>
              </w:rPr>
            </w:pPr>
            <w:r>
              <w:rPr>
                <w:rFonts w:ascii="標楷體" w:eastAsia="標楷體" w:hAnsi="標楷體"/>
                <w:szCs w:val="24"/>
              </w:rPr>
              <w:t>現行條文</w:t>
            </w:r>
          </w:p>
        </w:tc>
        <w:tc>
          <w:tcPr>
            <w:tcW w:w="3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AC95E" w14:textId="77777777" w:rsidR="00020800" w:rsidRDefault="00DC08BB">
            <w:pPr>
              <w:spacing w:line="360" w:lineRule="exact"/>
              <w:jc w:val="center"/>
              <w:rPr>
                <w:rFonts w:ascii="標楷體" w:eastAsia="標楷體" w:hAnsi="標楷體"/>
                <w:szCs w:val="24"/>
              </w:rPr>
            </w:pPr>
            <w:r>
              <w:rPr>
                <w:rFonts w:ascii="標楷體" w:eastAsia="標楷體" w:hAnsi="標楷體"/>
                <w:szCs w:val="24"/>
              </w:rPr>
              <w:t>說明</w:t>
            </w:r>
          </w:p>
        </w:tc>
      </w:tr>
      <w:tr w:rsidR="00020800" w14:paraId="187E3EB8" w14:textId="77777777">
        <w:tc>
          <w:tcPr>
            <w:tcW w:w="3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2301E" w14:textId="77777777" w:rsidR="00020800" w:rsidRDefault="00DC08BB">
            <w:pPr>
              <w:spacing w:line="360" w:lineRule="exact"/>
              <w:ind w:left="240" w:hanging="240"/>
              <w:jc w:val="both"/>
              <w:rPr>
                <w:rFonts w:ascii="標楷體" w:eastAsia="標楷體" w:hAnsi="標楷體"/>
                <w:bCs/>
                <w:color w:val="000000"/>
                <w:szCs w:val="24"/>
              </w:rPr>
            </w:pPr>
            <w:r>
              <w:rPr>
                <w:rFonts w:ascii="標楷體" w:eastAsia="標楷體" w:hAnsi="標楷體"/>
                <w:bCs/>
                <w:color w:val="000000"/>
                <w:szCs w:val="24"/>
              </w:rPr>
              <w:t>第四條</w:t>
            </w:r>
          </w:p>
          <w:p w14:paraId="4A4CD76C" w14:textId="77777777" w:rsidR="00020800" w:rsidRDefault="00DC08BB">
            <w:pPr>
              <w:spacing w:line="360" w:lineRule="exact"/>
              <w:ind w:firstLine="480"/>
              <w:jc w:val="both"/>
              <w:rPr>
                <w:rFonts w:ascii="標楷體" w:eastAsia="標楷體" w:hAnsi="標楷體"/>
                <w:bCs/>
                <w:color w:val="000000"/>
                <w:szCs w:val="24"/>
              </w:rPr>
            </w:pPr>
            <w:r>
              <w:rPr>
                <w:rFonts w:ascii="標楷體" w:eastAsia="標楷體" w:hAnsi="標楷體"/>
                <w:bCs/>
                <w:color w:val="000000"/>
                <w:szCs w:val="24"/>
              </w:rPr>
              <w:t>甲方信用帳戶內之有價證券，乙方除作下列之運用，不得移作他用，且應送存集中保管：</w:t>
            </w:r>
          </w:p>
          <w:p w14:paraId="00F13310"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一、作為辦理融券業務之券源。</w:t>
            </w:r>
          </w:p>
          <w:p w14:paraId="4040A4B6"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二、作為向證券金融事業轉融通資金或證券之擔保。</w:t>
            </w:r>
          </w:p>
          <w:p w14:paraId="0AFBA0EE"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三、作為辦理有價證券借貸業務之出借券源。</w:t>
            </w:r>
          </w:p>
          <w:p w14:paraId="72597BFC"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四、作為向證券交易所借券系統借券之擔保。</w:t>
            </w:r>
          </w:p>
          <w:p w14:paraId="6DF67538"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五、出借予辦理有價證券借貸業務之證券商或證券金融事業作為辦理有價證券借貸業務或有價證券融資融券業務之券源。</w:t>
            </w:r>
          </w:p>
          <w:p w14:paraId="22FBDD28"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六、於證券交易所借券系統出借證券。</w:t>
            </w:r>
          </w:p>
          <w:p w14:paraId="33600C17"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七、參與證券金融事業之標借或議借。</w:t>
            </w:r>
          </w:p>
          <w:p w14:paraId="06BCAFEA" w14:textId="77777777" w:rsidR="00020800" w:rsidRDefault="00DC08BB">
            <w:pPr>
              <w:spacing w:line="360" w:lineRule="exact"/>
              <w:ind w:firstLine="480"/>
              <w:jc w:val="both"/>
            </w:pPr>
            <w:r>
              <w:rPr>
                <w:rFonts w:ascii="標楷體" w:eastAsia="標楷體" w:hAnsi="標楷體"/>
                <w:bCs/>
                <w:color w:val="000000"/>
                <w:szCs w:val="24"/>
              </w:rPr>
              <w:t>甲方融資買進之證券及作為擔保之抵繳證券</w:t>
            </w:r>
            <w:r>
              <w:rPr>
                <w:rFonts w:ascii="標楷體" w:eastAsia="標楷體" w:hAnsi="標楷體"/>
                <w:bCs/>
                <w:color w:val="FF0000"/>
                <w:szCs w:val="24"/>
                <w:u w:val="single"/>
              </w:rPr>
              <w:t>屬上市(櫃)有價證券者</w:t>
            </w:r>
            <w:r>
              <w:rPr>
                <w:rFonts w:ascii="標楷體" w:eastAsia="標楷體" w:hAnsi="標楷體"/>
                <w:bCs/>
                <w:color w:val="000000"/>
                <w:szCs w:val="24"/>
              </w:rPr>
              <w:t>，其無償配股股票股利率達百分之二十以上者，該權值新股全部作為擔保品；或甲方融資買進之證券及作為擔保之抵繳證券，其發行公司辦理分割減資事宜，且減資後股票恢復交易與分割受讓公司之股票</w:t>
            </w:r>
            <w:r>
              <w:rPr>
                <w:rFonts w:ascii="標楷體" w:eastAsia="標楷體" w:hAnsi="標楷體"/>
                <w:bCs/>
                <w:color w:val="000000"/>
                <w:szCs w:val="24"/>
              </w:rPr>
              <w:lastRenderedPageBreak/>
              <w:t>上市或上櫃為同日者，該分割受讓公司之股票若無操作辦法第五十七條第二項第三款所列情事，應全部作為擔保品。</w:t>
            </w:r>
          </w:p>
          <w:p w14:paraId="0FB56A85" w14:textId="77777777" w:rsidR="00020800" w:rsidRDefault="00DC08BB">
            <w:pPr>
              <w:spacing w:line="360" w:lineRule="exact"/>
              <w:ind w:firstLine="480"/>
              <w:jc w:val="both"/>
              <w:rPr>
                <w:rFonts w:ascii="標楷體" w:eastAsia="標楷體" w:hAnsi="標楷體"/>
                <w:bCs/>
                <w:color w:val="000000"/>
                <w:szCs w:val="24"/>
              </w:rPr>
            </w:pPr>
            <w:r>
              <w:rPr>
                <w:rFonts w:ascii="標楷體" w:eastAsia="標楷體" w:hAnsi="標楷體"/>
                <w:bCs/>
                <w:color w:val="000000"/>
                <w:szCs w:val="24"/>
              </w:rPr>
              <w:t>前項作為擔保品之權值新股或分割受讓公司之股票，應放棄緩課所得稅之權利，並由證券集中保管事業以帳簿劃撥方式轉撥至乙方融資融券專戶。</w:t>
            </w:r>
          </w:p>
          <w:p w14:paraId="3DC420DF" w14:textId="77777777" w:rsidR="00020800" w:rsidRDefault="00DC08BB">
            <w:pPr>
              <w:spacing w:line="360" w:lineRule="exact"/>
              <w:ind w:firstLine="480"/>
              <w:jc w:val="both"/>
            </w:pPr>
            <w:r>
              <w:rPr>
                <w:rFonts w:ascii="標楷體" w:eastAsia="標楷體" w:hAnsi="標楷體"/>
                <w:bCs/>
                <w:color w:val="000000"/>
                <w:szCs w:val="24"/>
              </w:rPr>
              <w:t>乙方運用第一項有價證券，應負責於融資融券清結時，以種類、數量相同之有價證券交付，甲方絕無異議。</w:t>
            </w:r>
          </w:p>
        </w:tc>
        <w:tc>
          <w:tcPr>
            <w:tcW w:w="3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DD977" w14:textId="77777777" w:rsidR="00020800" w:rsidRDefault="00DC08BB">
            <w:pPr>
              <w:spacing w:line="360" w:lineRule="exact"/>
              <w:ind w:left="240" w:hanging="240"/>
              <w:jc w:val="both"/>
              <w:rPr>
                <w:rFonts w:ascii="標楷體" w:eastAsia="標楷體" w:hAnsi="標楷體"/>
                <w:bCs/>
                <w:color w:val="000000"/>
                <w:szCs w:val="24"/>
              </w:rPr>
            </w:pPr>
            <w:r>
              <w:rPr>
                <w:rFonts w:ascii="標楷體" w:eastAsia="標楷體" w:hAnsi="標楷體"/>
                <w:bCs/>
                <w:color w:val="000000"/>
                <w:szCs w:val="24"/>
              </w:rPr>
              <w:lastRenderedPageBreak/>
              <w:t>第四條</w:t>
            </w:r>
          </w:p>
          <w:p w14:paraId="01FC6487" w14:textId="77777777" w:rsidR="00020800" w:rsidRDefault="00DC08BB">
            <w:pPr>
              <w:spacing w:line="360" w:lineRule="exact"/>
              <w:ind w:firstLine="480"/>
              <w:jc w:val="both"/>
              <w:rPr>
                <w:rFonts w:ascii="標楷體" w:eastAsia="標楷體" w:hAnsi="標楷體"/>
                <w:bCs/>
                <w:color w:val="000000"/>
                <w:szCs w:val="24"/>
              </w:rPr>
            </w:pPr>
            <w:r>
              <w:rPr>
                <w:rFonts w:ascii="標楷體" w:eastAsia="標楷體" w:hAnsi="標楷體"/>
                <w:bCs/>
                <w:color w:val="000000"/>
                <w:szCs w:val="24"/>
              </w:rPr>
              <w:t>甲方信用帳戶內之有價證券，乙方除作下列之運用，不得移作他用，且應送存集中保管：</w:t>
            </w:r>
          </w:p>
          <w:p w14:paraId="4AA94EA8"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一、作為辦理融券業務之券源。</w:t>
            </w:r>
          </w:p>
          <w:p w14:paraId="5C3B650A"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二、作為向證券金融事業轉融通資金或證券之擔保。</w:t>
            </w:r>
          </w:p>
          <w:p w14:paraId="6DA01196"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三、作為辦理有價證券借貸業務之出借券源。</w:t>
            </w:r>
          </w:p>
          <w:p w14:paraId="30CFA958"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四、作為向證券交易所借券系統借券之擔保。</w:t>
            </w:r>
          </w:p>
          <w:p w14:paraId="29A06691"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五、出借予辦理有價證券借貸業務之證券商或證券金融事業作為辦理有價證券借貸業務或有價證券融資融券業務之券源。</w:t>
            </w:r>
          </w:p>
          <w:p w14:paraId="098B9B1A"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六、於證券交易所借券系統出借證券。</w:t>
            </w:r>
          </w:p>
          <w:p w14:paraId="4BC9E06E" w14:textId="77777777" w:rsidR="00020800" w:rsidRDefault="00DC08BB">
            <w:pPr>
              <w:spacing w:line="360" w:lineRule="exact"/>
              <w:ind w:left="480" w:hanging="480"/>
              <w:jc w:val="both"/>
              <w:rPr>
                <w:rFonts w:ascii="標楷體" w:eastAsia="標楷體" w:hAnsi="標楷體"/>
                <w:bCs/>
                <w:color w:val="000000"/>
                <w:szCs w:val="24"/>
              </w:rPr>
            </w:pPr>
            <w:r>
              <w:rPr>
                <w:rFonts w:ascii="標楷體" w:eastAsia="標楷體" w:hAnsi="標楷體"/>
                <w:bCs/>
                <w:color w:val="000000"/>
                <w:szCs w:val="24"/>
              </w:rPr>
              <w:t>七、參與證券金融事業之標借或議借。</w:t>
            </w:r>
          </w:p>
          <w:p w14:paraId="1AB3A757" w14:textId="77777777" w:rsidR="00020800" w:rsidRDefault="00DC08BB">
            <w:pPr>
              <w:spacing w:line="360" w:lineRule="exact"/>
              <w:ind w:firstLine="480"/>
              <w:jc w:val="both"/>
              <w:rPr>
                <w:rFonts w:ascii="標楷體" w:eastAsia="標楷體" w:hAnsi="標楷體"/>
                <w:bCs/>
                <w:color w:val="000000"/>
                <w:szCs w:val="24"/>
              </w:rPr>
            </w:pPr>
            <w:r>
              <w:rPr>
                <w:rFonts w:ascii="標楷體" w:eastAsia="標楷體" w:hAnsi="標楷體"/>
                <w:bCs/>
                <w:color w:val="000000"/>
                <w:szCs w:val="24"/>
              </w:rPr>
              <w:t>甲方融資買進之證券及作為擔保之抵繳證券，其無償配股股票股利率達百分之二十以上者，該權值新股全部作為擔保品；或甲方融資買進之證券及作為擔保之抵繳證券，其發行公司辦理分割減資事宜，且減資後股票恢復交易與分割受讓公司之股票上市或上櫃為同日者，</w:t>
            </w:r>
            <w:r>
              <w:rPr>
                <w:rFonts w:ascii="標楷體" w:eastAsia="標楷體" w:hAnsi="標楷體"/>
                <w:bCs/>
                <w:color w:val="000000"/>
                <w:szCs w:val="24"/>
              </w:rPr>
              <w:lastRenderedPageBreak/>
              <w:t>該分割受讓公司之股票若無操作辦法第五十七條第二項第三款所列情事，應全部作為擔保品。</w:t>
            </w:r>
          </w:p>
          <w:p w14:paraId="7927841A" w14:textId="77777777" w:rsidR="00020800" w:rsidRDefault="00020800">
            <w:pPr>
              <w:spacing w:line="360" w:lineRule="exact"/>
              <w:ind w:firstLine="480"/>
              <w:jc w:val="both"/>
              <w:rPr>
                <w:rFonts w:ascii="標楷體" w:eastAsia="標楷體" w:hAnsi="標楷體"/>
                <w:bCs/>
                <w:color w:val="000000"/>
                <w:szCs w:val="24"/>
              </w:rPr>
            </w:pPr>
          </w:p>
          <w:p w14:paraId="7C03CEEE" w14:textId="77777777" w:rsidR="00020800" w:rsidRDefault="00DC08BB">
            <w:pPr>
              <w:spacing w:line="360" w:lineRule="exact"/>
              <w:ind w:firstLine="480"/>
              <w:jc w:val="both"/>
              <w:rPr>
                <w:rFonts w:ascii="標楷體" w:eastAsia="標楷體" w:hAnsi="標楷體"/>
                <w:bCs/>
                <w:color w:val="000000"/>
                <w:szCs w:val="24"/>
              </w:rPr>
            </w:pPr>
            <w:r>
              <w:rPr>
                <w:rFonts w:ascii="標楷體" w:eastAsia="標楷體" w:hAnsi="標楷體"/>
                <w:bCs/>
                <w:color w:val="000000"/>
                <w:szCs w:val="24"/>
              </w:rPr>
              <w:t>前項作為擔保品之權值新股或分割受讓公司之股票，應放棄緩課所得稅之權利，並由證券集中保管事業以帳簿劃撥方式轉撥至乙方融資融券專戶。</w:t>
            </w:r>
          </w:p>
          <w:p w14:paraId="39267979" w14:textId="77777777" w:rsidR="00020800" w:rsidRDefault="00DC08BB">
            <w:pPr>
              <w:spacing w:line="360" w:lineRule="exact"/>
              <w:ind w:firstLine="480"/>
              <w:jc w:val="both"/>
            </w:pPr>
            <w:r>
              <w:rPr>
                <w:rFonts w:ascii="標楷體" w:eastAsia="標楷體" w:hAnsi="標楷體"/>
                <w:bCs/>
                <w:color w:val="000000"/>
                <w:szCs w:val="24"/>
              </w:rPr>
              <w:t>乙方運用第一項有價證券，應負責於融資融券清結時，以種類、數量相同之有價證券交付，甲方絕無異議。</w:t>
            </w:r>
          </w:p>
        </w:tc>
        <w:tc>
          <w:tcPr>
            <w:tcW w:w="3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ED7EC" w14:textId="77777777" w:rsidR="00020800" w:rsidRDefault="00DC08BB">
            <w:pPr>
              <w:pStyle w:val="a7"/>
              <w:spacing w:line="360" w:lineRule="exact"/>
              <w:ind w:left="0"/>
              <w:jc w:val="both"/>
            </w:pPr>
            <w:r>
              <w:rPr>
                <w:rFonts w:ascii="標楷體" w:eastAsia="標楷體" w:hAnsi="標楷體"/>
                <w:bCs/>
                <w:color w:val="000000"/>
                <w:szCs w:val="24"/>
              </w:rPr>
              <w:lastRenderedPageBreak/>
              <w:t>考量興櫃為報價驅動之議價交易市場，興櫃股票除權息時係由推薦證券商綜合考量各項因素後進行報價，並未計算及揭示除權息參考價，故無論興櫃股票無償配股率高低，均不進行假除權作業，</w:t>
            </w:r>
            <w:r>
              <w:rPr>
                <w:rFonts w:ascii="標楷體" w:eastAsia="標楷體" w:hAnsi="標楷體"/>
                <w:szCs w:val="24"/>
              </w:rPr>
              <w:t>爰排除興櫃股票之權值新股作為擔保之規定，修正第二項。</w:t>
            </w:r>
          </w:p>
        </w:tc>
      </w:tr>
      <w:tr w:rsidR="006258EF" w14:paraId="521C78E9" w14:textId="77777777">
        <w:tc>
          <w:tcPr>
            <w:tcW w:w="3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8E559" w14:textId="77777777" w:rsidR="006258EF" w:rsidRPr="007D13BA" w:rsidRDefault="006258EF" w:rsidP="006258EF">
            <w:pPr>
              <w:spacing w:line="360" w:lineRule="exact"/>
              <w:jc w:val="both"/>
              <w:rPr>
                <w:rFonts w:ascii="標楷體" w:eastAsia="標楷體" w:hAnsi="標楷體"/>
                <w:bCs/>
                <w:color w:val="000000" w:themeColor="text1"/>
                <w:szCs w:val="24"/>
              </w:rPr>
            </w:pPr>
            <w:r w:rsidRPr="007D13BA">
              <w:rPr>
                <w:rFonts w:ascii="標楷體" w:eastAsia="標楷體" w:hAnsi="標楷體" w:hint="eastAsia"/>
                <w:bCs/>
                <w:color w:val="000000" w:themeColor="text1"/>
                <w:szCs w:val="24"/>
              </w:rPr>
              <w:t>第十條</w:t>
            </w:r>
          </w:p>
          <w:p w14:paraId="27C34C45" w14:textId="77777777" w:rsidR="006258EF" w:rsidRPr="00532509" w:rsidRDefault="006258EF" w:rsidP="00532509">
            <w:pPr>
              <w:spacing w:line="360" w:lineRule="exact"/>
              <w:ind w:firstLine="480"/>
              <w:jc w:val="both"/>
              <w:rPr>
                <w:rFonts w:ascii="標楷體" w:eastAsia="標楷體" w:hAnsi="標楷體"/>
                <w:bCs/>
                <w:color w:val="000000"/>
                <w:szCs w:val="24"/>
              </w:rPr>
            </w:pPr>
            <w:r w:rsidRPr="00532509">
              <w:rPr>
                <w:rFonts w:ascii="標楷體" w:eastAsia="標楷體" w:hAnsi="標楷體" w:hint="eastAsia"/>
                <w:bCs/>
                <w:color w:val="000000"/>
                <w:szCs w:val="24"/>
              </w:rPr>
              <w:t>乙方應向甲方收取之融資利息與應支付甲方之融券賣出價款與保證金利息，其利率由乙方訂定。</w:t>
            </w:r>
          </w:p>
          <w:p w14:paraId="0A51AABE" w14:textId="77777777" w:rsidR="00532509" w:rsidRPr="00532509" w:rsidRDefault="00532509" w:rsidP="00532509">
            <w:pPr>
              <w:spacing w:line="360" w:lineRule="exact"/>
              <w:ind w:firstLine="480"/>
              <w:jc w:val="both"/>
              <w:rPr>
                <w:rFonts w:ascii="標楷體" w:eastAsia="標楷體" w:hAnsi="標楷體"/>
                <w:bCs/>
                <w:color w:val="000000"/>
                <w:szCs w:val="24"/>
              </w:rPr>
            </w:pPr>
            <w:r w:rsidRPr="00532509">
              <w:rPr>
                <w:rFonts w:ascii="標楷體" w:eastAsia="標楷體" w:hAnsi="標楷體" w:hint="eastAsia"/>
                <w:bCs/>
                <w:color w:val="000000"/>
                <w:szCs w:val="24"/>
              </w:rPr>
              <w:t>前項利息按甲方融資或融券成交日後第二營業日起迄清償前一日之日數計算；利率如經調整時，甲方已融資或融券尚未</w:t>
            </w:r>
            <w:r w:rsidRPr="007D13BA">
              <w:rPr>
                <w:rFonts w:ascii="標楷體" w:eastAsia="標楷體" w:hAnsi="標楷體" w:hint="eastAsia"/>
                <w:bCs/>
                <w:color w:val="FF0000"/>
                <w:szCs w:val="24"/>
                <w:u w:val="single"/>
              </w:rPr>
              <w:t>了</w:t>
            </w:r>
            <w:r w:rsidRPr="00532509">
              <w:rPr>
                <w:rFonts w:ascii="標楷體" w:eastAsia="標楷體" w:hAnsi="標楷體" w:hint="eastAsia"/>
                <w:bCs/>
                <w:color w:val="000000"/>
                <w:szCs w:val="24"/>
              </w:rPr>
              <w:t>結部分，乙方均自調整之日起，按調整後利率計算收付。</w:t>
            </w:r>
          </w:p>
          <w:p w14:paraId="7A0FECEC" w14:textId="77777777" w:rsidR="006258EF" w:rsidRPr="00532509" w:rsidRDefault="006258EF" w:rsidP="00532509">
            <w:pPr>
              <w:spacing w:line="360" w:lineRule="exact"/>
              <w:ind w:firstLine="480"/>
              <w:jc w:val="both"/>
              <w:rPr>
                <w:rFonts w:ascii="標楷體" w:eastAsia="標楷體" w:hAnsi="標楷體"/>
                <w:bCs/>
                <w:color w:val="000000"/>
                <w:szCs w:val="24"/>
              </w:rPr>
            </w:pPr>
            <w:r w:rsidRPr="00532509">
              <w:rPr>
                <w:rFonts w:ascii="標楷體" w:eastAsia="標楷體" w:hAnsi="標楷體" w:hint="eastAsia"/>
                <w:bCs/>
                <w:color w:val="000000"/>
                <w:szCs w:val="24"/>
              </w:rPr>
              <w:t>乙方以融資買進之證券供甲方融券賣出，乙方應向甲方收取之融券手續費，其費率由乙方訂定。乙方因證券金融事業辦理標借、議借或標購某種差額證券應負擔之各項費用，甲方如有融券該種證券，同意依操作辦法第五十二條規定辦理並負擔標借、議借或標購費用，乙</w:t>
            </w:r>
            <w:r w:rsidRPr="00532509">
              <w:rPr>
                <w:rFonts w:ascii="標楷體" w:eastAsia="標楷體" w:hAnsi="標楷體" w:hint="eastAsia"/>
                <w:bCs/>
                <w:color w:val="000000"/>
                <w:szCs w:val="24"/>
              </w:rPr>
              <w:lastRenderedPageBreak/>
              <w:t>方得在甲方繳存之融券擔保品款項中扣抵。</w:t>
            </w:r>
          </w:p>
          <w:p w14:paraId="500118E3" w14:textId="77777777" w:rsidR="006258EF" w:rsidRPr="00532509" w:rsidRDefault="006258EF" w:rsidP="00532509">
            <w:pPr>
              <w:spacing w:line="360" w:lineRule="exact"/>
              <w:ind w:firstLine="480"/>
              <w:jc w:val="both"/>
              <w:rPr>
                <w:rFonts w:ascii="標楷體" w:eastAsia="標楷體" w:hAnsi="標楷體"/>
                <w:bCs/>
                <w:color w:val="000000"/>
                <w:szCs w:val="24"/>
              </w:rPr>
            </w:pPr>
            <w:r w:rsidRPr="00532509">
              <w:rPr>
                <w:rFonts w:ascii="標楷體" w:eastAsia="標楷體" w:hAnsi="標楷體" w:hint="eastAsia"/>
                <w:bCs/>
                <w:color w:val="000000"/>
                <w:szCs w:val="24"/>
              </w:rPr>
              <w:t>乙方以向證券交易所借券系統借入之有價證券、辦理有價證券借貸業務自客戶借入之有價證券、自辦理有價證券借貸業務或有價證券融資融券業務之證券商或證券金融事業借入之有價證券或自有有價證券供甲方融券賣出前，由乙方與甲方按年利率百分之十六以下，議定融券費費率及計算、收取方式。乙方逐日計算擔保維持率時，得將融券費於甲方繳存之擔保品價值中扣除。乙方因發生證券差額向證券金融事業轉融通所生之費用，由乙方負擔。</w:t>
            </w:r>
          </w:p>
          <w:p w14:paraId="55249FBE" w14:textId="77777777" w:rsidR="006258EF" w:rsidRPr="007D13BA" w:rsidRDefault="006258EF" w:rsidP="00532509">
            <w:pPr>
              <w:spacing w:line="360" w:lineRule="exact"/>
              <w:ind w:firstLine="480"/>
              <w:jc w:val="both"/>
              <w:rPr>
                <w:rFonts w:ascii="標楷體" w:eastAsia="標楷體" w:hAnsi="標楷體"/>
                <w:bCs/>
                <w:color w:val="000000" w:themeColor="text1"/>
                <w:szCs w:val="24"/>
              </w:rPr>
            </w:pPr>
            <w:r w:rsidRPr="00532509">
              <w:rPr>
                <w:rFonts w:ascii="標楷體" w:eastAsia="標楷體" w:hAnsi="標楷體" w:hint="eastAsia"/>
                <w:bCs/>
                <w:color w:val="000000"/>
                <w:szCs w:val="24"/>
              </w:rPr>
              <w:t>乙方得自甲方違約日起至清償日止，依違約事由，按應補差額乘以融資利率百分之十收取融資違約金，或按應補差額乘以融券費費率百分之十收取融券違約金，或按所定之融券手續費率收取相當於一次手續費之融券違約金。</w:t>
            </w:r>
          </w:p>
        </w:tc>
        <w:tc>
          <w:tcPr>
            <w:tcW w:w="3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12FB6" w14:textId="77777777" w:rsidR="006258EF" w:rsidRPr="007D13BA" w:rsidRDefault="006258EF" w:rsidP="006258EF">
            <w:pPr>
              <w:spacing w:line="360" w:lineRule="exact"/>
              <w:jc w:val="both"/>
              <w:rPr>
                <w:rFonts w:ascii="標楷體" w:eastAsia="標楷體" w:hAnsi="標楷體"/>
                <w:bCs/>
                <w:color w:val="000000" w:themeColor="text1"/>
                <w:szCs w:val="24"/>
              </w:rPr>
            </w:pPr>
            <w:r w:rsidRPr="007D13BA">
              <w:rPr>
                <w:rFonts w:ascii="標楷體" w:eastAsia="標楷體" w:hAnsi="標楷體" w:hint="eastAsia"/>
                <w:bCs/>
                <w:color w:val="000000" w:themeColor="text1"/>
                <w:szCs w:val="24"/>
              </w:rPr>
              <w:lastRenderedPageBreak/>
              <w:t>第十條</w:t>
            </w:r>
          </w:p>
          <w:p w14:paraId="23604457" w14:textId="77777777" w:rsidR="006258EF" w:rsidRPr="00532509" w:rsidRDefault="006258EF" w:rsidP="00532509">
            <w:pPr>
              <w:spacing w:line="360" w:lineRule="exact"/>
              <w:ind w:firstLine="480"/>
              <w:jc w:val="both"/>
              <w:rPr>
                <w:rFonts w:ascii="標楷體" w:eastAsia="標楷體" w:hAnsi="標楷體"/>
                <w:bCs/>
                <w:color w:val="000000"/>
                <w:szCs w:val="24"/>
              </w:rPr>
            </w:pPr>
            <w:r w:rsidRPr="00532509">
              <w:rPr>
                <w:rFonts w:ascii="標楷體" w:eastAsia="標楷體" w:hAnsi="標楷體" w:hint="eastAsia"/>
                <w:bCs/>
                <w:color w:val="000000"/>
                <w:szCs w:val="24"/>
              </w:rPr>
              <w:t>乙方應向甲方收取之融資利息與應支付甲方之融券賣出價款與保證金利息，其利率由乙方訂定。</w:t>
            </w:r>
          </w:p>
          <w:p w14:paraId="3F2A94BF" w14:textId="77777777" w:rsidR="006258EF" w:rsidRPr="00532509" w:rsidRDefault="006258EF" w:rsidP="00532509">
            <w:pPr>
              <w:spacing w:line="360" w:lineRule="exact"/>
              <w:ind w:firstLine="480"/>
              <w:jc w:val="both"/>
              <w:rPr>
                <w:rFonts w:ascii="標楷體" w:eastAsia="標楷體" w:hAnsi="標楷體"/>
                <w:bCs/>
                <w:color w:val="000000"/>
                <w:szCs w:val="24"/>
              </w:rPr>
            </w:pPr>
            <w:r w:rsidRPr="00532509">
              <w:rPr>
                <w:rFonts w:ascii="標楷體" w:eastAsia="標楷體" w:hAnsi="標楷體" w:hint="eastAsia"/>
                <w:bCs/>
                <w:color w:val="000000"/>
                <w:szCs w:val="24"/>
              </w:rPr>
              <w:t>前項利息按甲方融資或融券成交日後第二營業日起迄清償前一日之日數計算；利率如經調整時，甲方已融資或融券尚未</w:t>
            </w:r>
            <w:r w:rsidRPr="00D9302C">
              <w:rPr>
                <w:rFonts w:ascii="標楷體" w:eastAsia="標楷體" w:hAnsi="標楷體" w:hint="eastAsia"/>
                <w:bCs/>
                <w:color w:val="000000" w:themeColor="text1"/>
                <w:szCs w:val="24"/>
              </w:rPr>
              <w:t>清</w:t>
            </w:r>
            <w:r w:rsidRPr="00532509">
              <w:rPr>
                <w:rFonts w:ascii="標楷體" w:eastAsia="標楷體" w:hAnsi="標楷體" w:hint="eastAsia"/>
                <w:bCs/>
                <w:color w:val="000000"/>
                <w:szCs w:val="24"/>
              </w:rPr>
              <w:t>結部分，乙方均自調整之日起，按調整後利率計算收付。</w:t>
            </w:r>
          </w:p>
          <w:p w14:paraId="5F9946BD" w14:textId="77777777" w:rsidR="006258EF" w:rsidRPr="00532509" w:rsidRDefault="006258EF" w:rsidP="00532509">
            <w:pPr>
              <w:spacing w:line="360" w:lineRule="exact"/>
              <w:ind w:firstLine="480"/>
              <w:jc w:val="both"/>
              <w:rPr>
                <w:rFonts w:ascii="標楷體" w:eastAsia="標楷體" w:hAnsi="標楷體"/>
                <w:bCs/>
                <w:color w:val="000000"/>
                <w:szCs w:val="24"/>
              </w:rPr>
            </w:pPr>
            <w:r w:rsidRPr="00532509">
              <w:rPr>
                <w:rFonts w:ascii="標楷體" w:eastAsia="標楷體" w:hAnsi="標楷體" w:hint="eastAsia"/>
                <w:bCs/>
                <w:color w:val="000000"/>
                <w:szCs w:val="24"/>
              </w:rPr>
              <w:t>乙方以融資買進之證券供甲方融券賣出，乙方應向甲方收取之融券手續費，其費率由乙方訂定。乙方因證券金融事業辦理標借、議借或標購某種差額證券應負擔之各項費用，甲方如有融券該種證券，同意依操作辦法第五十二條規定辦理並負擔標借、議借或標購費用，乙</w:t>
            </w:r>
            <w:r w:rsidRPr="00532509">
              <w:rPr>
                <w:rFonts w:ascii="標楷體" w:eastAsia="標楷體" w:hAnsi="標楷體" w:hint="eastAsia"/>
                <w:bCs/>
                <w:color w:val="000000"/>
                <w:szCs w:val="24"/>
              </w:rPr>
              <w:lastRenderedPageBreak/>
              <w:t>方得在甲方繳存之融券擔保品款項中扣抵。</w:t>
            </w:r>
          </w:p>
          <w:p w14:paraId="163BBB52" w14:textId="77777777" w:rsidR="006258EF" w:rsidRPr="00532509" w:rsidRDefault="006258EF" w:rsidP="00532509">
            <w:pPr>
              <w:spacing w:line="360" w:lineRule="exact"/>
              <w:ind w:firstLine="480"/>
              <w:jc w:val="both"/>
              <w:rPr>
                <w:rFonts w:ascii="標楷體" w:eastAsia="標楷體" w:hAnsi="標楷體"/>
                <w:bCs/>
                <w:color w:val="000000"/>
                <w:szCs w:val="24"/>
              </w:rPr>
            </w:pPr>
            <w:r w:rsidRPr="00532509">
              <w:rPr>
                <w:rFonts w:ascii="標楷體" w:eastAsia="標楷體" w:hAnsi="標楷體" w:hint="eastAsia"/>
                <w:bCs/>
                <w:color w:val="000000"/>
                <w:szCs w:val="24"/>
              </w:rPr>
              <w:t>乙方以向證券交易所借券系統借入之有價證券、辦理有價證券借貸業務自客戶借入之有價證券、自辦理有價證券借貸業務或有價證券融資融券業務之證券商或證券金融事業借入之有價證券或自有有價證券供甲方融券賣出前，由乙方與甲方按年利率百分之十六以下，議定融券費費率及計算、收取方式。乙方逐日計算擔保維持率時，得將融券費於甲方繳存之擔保品價值中扣除。乙方因發生證券差額向證券金融事業轉融通所生之費用，由乙方負擔。</w:t>
            </w:r>
          </w:p>
          <w:p w14:paraId="0C8DF988" w14:textId="77777777" w:rsidR="006258EF" w:rsidRPr="007D13BA" w:rsidRDefault="006258EF" w:rsidP="00532509">
            <w:pPr>
              <w:spacing w:line="360" w:lineRule="exact"/>
              <w:ind w:firstLine="480"/>
              <w:jc w:val="both"/>
              <w:rPr>
                <w:rFonts w:ascii="標楷體" w:eastAsia="標楷體" w:hAnsi="標楷體"/>
                <w:bCs/>
                <w:color w:val="000000" w:themeColor="text1"/>
                <w:szCs w:val="24"/>
              </w:rPr>
            </w:pPr>
            <w:r w:rsidRPr="00532509">
              <w:rPr>
                <w:rFonts w:ascii="標楷體" w:eastAsia="標楷體" w:hAnsi="標楷體" w:hint="eastAsia"/>
                <w:bCs/>
                <w:color w:val="000000"/>
                <w:szCs w:val="24"/>
              </w:rPr>
              <w:t>乙方得自甲方違約日起至清償日止，依違約事由，按應補差額乘以融資利率百分之十收取融資違約金，或按應補差額乘以融券費費率百分之十收取融券違約金，或按所定之融券手續費率收取相當於一次手續費之融券違約金。</w:t>
            </w:r>
          </w:p>
        </w:tc>
        <w:tc>
          <w:tcPr>
            <w:tcW w:w="3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A877C" w14:textId="77777777" w:rsidR="006258EF" w:rsidRDefault="006258EF" w:rsidP="006258EF">
            <w:pPr>
              <w:pStyle w:val="a7"/>
              <w:spacing w:line="360" w:lineRule="exact"/>
              <w:ind w:left="0"/>
              <w:jc w:val="both"/>
              <w:rPr>
                <w:rFonts w:ascii="標楷體" w:eastAsia="標楷體" w:hAnsi="標楷體"/>
                <w:bCs/>
                <w:color w:val="000000"/>
                <w:szCs w:val="24"/>
              </w:rPr>
            </w:pPr>
            <w:r w:rsidRPr="007D13BA">
              <w:rPr>
                <w:rFonts w:ascii="標楷體" w:eastAsia="標楷體" w:hAnsi="標楷體" w:hint="eastAsia"/>
                <w:bCs/>
                <w:color w:val="000000" w:themeColor="text1"/>
                <w:szCs w:val="24"/>
              </w:rPr>
              <w:lastRenderedPageBreak/>
              <w:t>酌調第二項文字。</w:t>
            </w:r>
          </w:p>
        </w:tc>
      </w:tr>
      <w:tr w:rsidR="006258EF" w14:paraId="38FE48D1" w14:textId="77777777">
        <w:tc>
          <w:tcPr>
            <w:tcW w:w="3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76CD2" w14:textId="77777777" w:rsidR="006258EF" w:rsidRPr="007D13BA" w:rsidRDefault="006258EF" w:rsidP="006258EF">
            <w:pPr>
              <w:spacing w:line="360" w:lineRule="exact"/>
              <w:jc w:val="both"/>
              <w:rPr>
                <w:rFonts w:ascii="標楷體" w:eastAsia="標楷體" w:hAnsi="標楷體"/>
                <w:bCs/>
                <w:color w:val="000000" w:themeColor="text1"/>
                <w:szCs w:val="24"/>
              </w:rPr>
            </w:pPr>
            <w:r w:rsidRPr="007D13BA">
              <w:rPr>
                <w:rFonts w:ascii="標楷體" w:eastAsia="標楷體" w:hAnsi="標楷體" w:hint="eastAsia"/>
                <w:bCs/>
                <w:color w:val="000000" w:themeColor="text1"/>
                <w:szCs w:val="24"/>
              </w:rPr>
              <w:t>第十一條</w:t>
            </w:r>
          </w:p>
          <w:p w14:paraId="19F67687" w14:textId="77777777" w:rsidR="00732CF1" w:rsidRPr="008B7532" w:rsidRDefault="00732CF1" w:rsidP="008B7532">
            <w:pPr>
              <w:spacing w:line="360" w:lineRule="exact"/>
              <w:ind w:firstLine="480"/>
              <w:jc w:val="both"/>
              <w:rPr>
                <w:rFonts w:ascii="標楷體" w:eastAsia="標楷體" w:hAnsi="標楷體"/>
                <w:bCs/>
                <w:szCs w:val="24"/>
              </w:rPr>
            </w:pPr>
            <w:r w:rsidRPr="008B7532">
              <w:rPr>
                <w:rFonts w:ascii="標楷體" w:eastAsia="標楷體" w:hAnsi="標楷體"/>
                <w:bCs/>
                <w:szCs w:val="24"/>
              </w:rPr>
              <w:t>甲方融券賣出之有價證券，應於停止過戶前之規定期限內還券了結。但停止過戶之原因為召開臨時股東會，或其原因不影響行使股東權</w:t>
            </w:r>
            <w:r w:rsidRPr="008B7532">
              <w:rPr>
                <w:rFonts w:ascii="標楷體" w:eastAsia="標楷體" w:hAnsi="標楷體" w:hint="eastAsia"/>
                <w:bCs/>
                <w:color w:val="FF0000"/>
                <w:szCs w:val="24"/>
                <w:u w:val="single"/>
              </w:rPr>
              <w:t>或受益權</w:t>
            </w:r>
            <w:r w:rsidRPr="008B7532">
              <w:rPr>
                <w:rFonts w:ascii="標楷體" w:eastAsia="標楷體" w:hAnsi="標楷體" w:hint="eastAsia"/>
                <w:bCs/>
                <w:szCs w:val="24"/>
              </w:rPr>
              <w:t>者</w:t>
            </w:r>
            <w:r w:rsidRPr="008B7532">
              <w:rPr>
                <w:rFonts w:ascii="標楷體" w:eastAsia="標楷體" w:hAnsi="標楷體"/>
                <w:bCs/>
                <w:szCs w:val="24"/>
              </w:rPr>
              <w:t>，不在此限。</w:t>
            </w:r>
          </w:p>
          <w:p w14:paraId="1F2DE266" w14:textId="77777777" w:rsidR="006258EF" w:rsidRPr="007D13BA" w:rsidRDefault="000B53FA" w:rsidP="008B7532">
            <w:pPr>
              <w:spacing w:line="360" w:lineRule="exact"/>
              <w:ind w:firstLine="480"/>
              <w:jc w:val="both"/>
              <w:rPr>
                <w:rFonts w:ascii="標楷體" w:eastAsia="標楷體" w:hAnsi="標楷體"/>
                <w:bCs/>
                <w:color w:val="000000" w:themeColor="text1"/>
                <w:szCs w:val="24"/>
              </w:rPr>
            </w:pPr>
            <w:r w:rsidRPr="008B7532">
              <w:rPr>
                <w:rFonts w:ascii="標楷體" w:eastAsia="標楷體" w:hAnsi="標楷體"/>
                <w:bCs/>
                <w:szCs w:val="24"/>
              </w:rPr>
              <w:t>甲方融資買進及提供抵繳之有價證券，由乙方於</w:t>
            </w:r>
            <w:r w:rsidRPr="008B7532">
              <w:rPr>
                <w:rFonts w:ascii="標楷體" w:eastAsia="標楷體" w:hAnsi="標楷體"/>
                <w:bCs/>
                <w:color w:val="FF0000"/>
                <w:szCs w:val="24"/>
                <w:u w:val="single"/>
              </w:rPr>
              <w:t>有</w:t>
            </w:r>
            <w:r w:rsidRPr="008B7532">
              <w:rPr>
                <w:rFonts w:ascii="標楷體" w:eastAsia="標楷體" w:hAnsi="標楷體"/>
                <w:bCs/>
                <w:color w:val="FF0000"/>
                <w:szCs w:val="24"/>
                <w:u w:val="single"/>
              </w:rPr>
              <w:lastRenderedPageBreak/>
              <w:t>價證券</w:t>
            </w:r>
            <w:r w:rsidRPr="008B7532">
              <w:rPr>
                <w:rFonts w:ascii="標楷體" w:eastAsia="標楷體" w:hAnsi="標楷體"/>
                <w:bCs/>
                <w:szCs w:val="24"/>
              </w:rPr>
              <w:t>停止過戶前，依規定代為辦理過戶。但因召開臨時股東會停止過戶者，甲方信用帳戶融資買進之該</w:t>
            </w:r>
            <w:r w:rsidR="00530975" w:rsidRPr="008B7532">
              <w:rPr>
                <w:rFonts w:ascii="標楷體" w:eastAsia="標楷體" w:hAnsi="標楷體"/>
                <w:bCs/>
                <w:color w:val="FF0000"/>
                <w:szCs w:val="24"/>
                <w:u w:val="single"/>
              </w:rPr>
              <w:t>有價證券</w:t>
            </w:r>
            <w:r w:rsidRPr="008B7532">
              <w:rPr>
                <w:rFonts w:ascii="標楷體" w:eastAsia="標楷體" w:hAnsi="標楷體"/>
                <w:bCs/>
                <w:szCs w:val="24"/>
              </w:rPr>
              <w:t>過戶股數</w:t>
            </w:r>
            <w:r w:rsidR="00530975" w:rsidRPr="008B7532">
              <w:rPr>
                <w:rFonts w:ascii="標楷體" w:eastAsia="標楷體" w:hAnsi="標楷體" w:hint="eastAsia"/>
                <w:bCs/>
                <w:color w:val="FF0000"/>
                <w:szCs w:val="24"/>
                <w:u w:val="single"/>
              </w:rPr>
              <w:t>或單位數</w:t>
            </w:r>
            <w:r w:rsidRPr="008B7532">
              <w:rPr>
                <w:rFonts w:ascii="標楷體" w:eastAsia="標楷體" w:hAnsi="標楷體"/>
                <w:bCs/>
                <w:szCs w:val="24"/>
              </w:rPr>
              <w:t>，由乙方依證券交易所會同櫃檯買賣中心訂定之臨時股東會計算融資人過戶股數作業要點之規定辦理。</w:t>
            </w:r>
          </w:p>
        </w:tc>
        <w:tc>
          <w:tcPr>
            <w:tcW w:w="3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53363A" w14:textId="77777777" w:rsidR="006258EF" w:rsidRPr="007D13BA" w:rsidRDefault="006258EF" w:rsidP="006258EF">
            <w:pPr>
              <w:spacing w:line="360" w:lineRule="exact"/>
              <w:jc w:val="both"/>
              <w:rPr>
                <w:rFonts w:ascii="標楷體" w:eastAsia="標楷體" w:hAnsi="標楷體"/>
                <w:bCs/>
                <w:color w:val="000000" w:themeColor="text1"/>
                <w:szCs w:val="24"/>
              </w:rPr>
            </w:pPr>
            <w:r w:rsidRPr="007D13BA">
              <w:rPr>
                <w:rFonts w:ascii="標楷體" w:eastAsia="標楷體" w:hAnsi="標楷體" w:hint="eastAsia"/>
                <w:bCs/>
                <w:color w:val="000000" w:themeColor="text1"/>
                <w:szCs w:val="24"/>
              </w:rPr>
              <w:lastRenderedPageBreak/>
              <w:t>第十一條</w:t>
            </w:r>
          </w:p>
          <w:p w14:paraId="19541A60" w14:textId="77777777" w:rsidR="006258EF" w:rsidRPr="008B7532" w:rsidRDefault="00732CF1" w:rsidP="008B7532">
            <w:pPr>
              <w:spacing w:line="360" w:lineRule="exact"/>
              <w:ind w:firstLine="480"/>
              <w:jc w:val="both"/>
              <w:rPr>
                <w:rFonts w:ascii="標楷體" w:eastAsia="標楷體" w:hAnsi="標楷體"/>
                <w:bCs/>
                <w:szCs w:val="24"/>
              </w:rPr>
            </w:pPr>
            <w:r w:rsidRPr="008B7532">
              <w:rPr>
                <w:rFonts w:ascii="標楷體" w:eastAsia="標楷體" w:hAnsi="標楷體"/>
                <w:bCs/>
                <w:szCs w:val="24"/>
              </w:rPr>
              <w:t>甲方融券賣出之有價證券，應於</w:t>
            </w:r>
            <w:r w:rsidRPr="008B7532">
              <w:rPr>
                <w:rFonts w:ascii="標楷體" w:eastAsia="標楷體" w:hAnsi="標楷體"/>
                <w:bCs/>
                <w:color w:val="FF0000"/>
                <w:szCs w:val="24"/>
                <w:u w:val="single"/>
              </w:rPr>
              <w:t>發行公司</w:t>
            </w:r>
            <w:r w:rsidRPr="008B7532">
              <w:rPr>
                <w:rFonts w:ascii="標楷體" w:eastAsia="標楷體" w:hAnsi="標楷體"/>
                <w:bCs/>
                <w:szCs w:val="24"/>
              </w:rPr>
              <w:t>停止過戶前之規定期限內還券了結。但</w:t>
            </w:r>
            <w:r w:rsidRPr="008B7532">
              <w:rPr>
                <w:rFonts w:ascii="標楷體" w:eastAsia="標楷體" w:hAnsi="標楷體"/>
                <w:bCs/>
                <w:color w:val="FF0000"/>
                <w:szCs w:val="24"/>
                <w:u w:val="single"/>
              </w:rPr>
              <w:t>發行公司</w:t>
            </w:r>
            <w:r w:rsidRPr="008B7532">
              <w:rPr>
                <w:rFonts w:ascii="標楷體" w:eastAsia="標楷體" w:hAnsi="標楷體"/>
                <w:bCs/>
                <w:szCs w:val="24"/>
              </w:rPr>
              <w:t>停止過戶之原因為召開臨時股東會，或其原因不影響行使股東權者，不在此限。</w:t>
            </w:r>
          </w:p>
          <w:p w14:paraId="4A849D68" w14:textId="77777777" w:rsidR="006258EF" w:rsidRPr="000B53FA" w:rsidRDefault="000B53FA" w:rsidP="008B7532">
            <w:pPr>
              <w:spacing w:line="360" w:lineRule="exact"/>
              <w:ind w:firstLine="480"/>
              <w:jc w:val="both"/>
              <w:rPr>
                <w:rFonts w:ascii="標楷體" w:eastAsia="標楷體" w:hAnsi="標楷體"/>
                <w:bCs/>
                <w:color w:val="000000" w:themeColor="text1"/>
                <w:szCs w:val="24"/>
              </w:rPr>
            </w:pPr>
            <w:r w:rsidRPr="008B7532">
              <w:rPr>
                <w:rFonts w:ascii="標楷體" w:eastAsia="標楷體" w:hAnsi="標楷體"/>
                <w:bCs/>
                <w:szCs w:val="24"/>
              </w:rPr>
              <w:t>甲方融資買進及提供抵繳之有價證券，由乙方於</w:t>
            </w:r>
            <w:r w:rsidRPr="00D9302C">
              <w:rPr>
                <w:rFonts w:ascii="標楷體" w:eastAsia="標楷體" w:hAnsi="標楷體"/>
                <w:bCs/>
                <w:color w:val="000000" w:themeColor="text1"/>
                <w:szCs w:val="24"/>
              </w:rPr>
              <w:t>發</w:t>
            </w:r>
            <w:r w:rsidRPr="00D9302C">
              <w:rPr>
                <w:rFonts w:ascii="標楷體" w:eastAsia="標楷體" w:hAnsi="標楷體"/>
                <w:bCs/>
                <w:color w:val="000000" w:themeColor="text1"/>
                <w:szCs w:val="24"/>
              </w:rPr>
              <w:lastRenderedPageBreak/>
              <w:t>行公司</w:t>
            </w:r>
            <w:r w:rsidRPr="008B7532">
              <w:rPr>
                <w:rFonts w:ascii="標楷體" w:eastAsia="標楷體" w:hAnsi="標楷體"/>
                <w:bCs/>
                <w:szCs w:val="24"/>
              </w:rPr>
              <w:t>停止過戶前，依規定代為辦理過戶。但</w:t>
            </w:r>
            <w:r w:rsidRPr="008B7532">
              <w:rPr>
                <w:rFonts w:ascii="標楷體" w:eastAsia="標楷體" w:hAnsi="標楷體"/>
                <w:bCs/>
                <w:color w:val="FF0000"/>
                <w:szCs w:val="24"/>
                <w:u w:val="single"/>
              </w:rPr>
              <w:t>發行公司</w:t>
            </w:r>
            <w:r w:rsidRPr="008B7532">
              <w:rPr>
                <w:rFonts w:ascii="標楷體" w:eastAsia="標楷體" w:hAnsi="標楷體"/>
                <w:bCs/>
                <w:szCs w:val="24"/>
              </w:rPr>
              <w:t>因召開臨時股東會停止過戶者，甲方信用帳戶融資買進之該</w:t>
            </w:r>
            <w:r w:rsidRPr="00D9302C">
              <w:rPr>
                <w:rFonts w:ascii="標楷體" w:eastAsia="標楷體" w:hAnsi="標楷體"/>
                <w:bCs/>
                <w:color w:val="000000" w:themeColor="text1"/>
                <w:szCs w:val="24"/>
              </w:rPr>
              <w:t>股票</w:t>
            </w:r>
            <w:r w:rsidRPr="008B7532">
              <w:rPr>
                <w:rFonts w:ascii="標楷體" w:eastAsia="標楷體" w:hAnsi="標楷體"/>
                <w:bCs/>
                <w:szCs w:val="24"/>
              </w:rPr>
              <w:t>過戶股數，由乙方依證券交易所會同櫃檯買賣中心訂定之臨時股東會計算融資人過戶股數作業要點之規定辦理。</w:t>
            </w:r>
          </w:p>
        </w:tc>
        <w:tc>
          <w:tcPr>
            <w:tcW w:w="3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77206" w14:textId="77777777" w:rsidR="006258EF" w:rsidRPr="007D13BA" w:rsidRDefault="006258EF" w:rsidP="006258EF">
            <w:pPr>
              <w:pStyle w:val="a7"/>
              <w:spacing w:line="360" w:lineRule="exact"/>
              <w:ind w:left="0"/>
              <w:jc w:val="both"/>
              <w:rPr>
                <w:rFonts w:ascii="標楷體" w:eastAsia="標楷體" w:hAnsi="標楷體"/>
                <w:bCs/>
                <w:color w:val="000000" w:themeColor="text1"/>
                <w:szCs w:val="24"/>
              </w:rPr>
            </w:pPr>
            <w:r w:rsidRPr="007D13BA">
              <w:rPr>
                <w:rFonts w:ascii="標楷體" w:eastAsia="標楷體" w:hAnsi="標楷體" w:hint="eastAsia"/>
                <w:bCs/>
                <w:color w:val="000000" w:themeColor="text1"/>
                <w:szCs w:val="24"/>
              </w:rPr>
              <w:lastRenderedPageBreak/>
              <w:t>配合</w:t>
            </w:r>
            <w:r w:rsidR="002151B0" w:rsidRPr="002151B0">
              <w:rPr>
                <w:rFonts w:ascii="標楷體" w:eastAsia="標楷體" w:hAnsi="標楷體" w:hint="eastAsia"/>
                <w:bCs/>
                <w:color w:val="000000" w:themeColor="text1"/>
                <w:szCs w:val="24"/>
              </w:rPr>
              <w:t>「</w:t>
            </w:r>
            <w:r w:rsidRPr="007D13BA">
              <w:rPr>
                <w:rFonts w:ascii="標楷體" w:eastAsia="標楷體" w:hAnsi="標楷體" w:hint="eastAsia"/>
                <w:bCs/>
                <w:color w:val="000000" w:themeColor="text1"/>
                <w:szCs w:val="24"/>
              </w:rPr>
              <w:t>證券商辦理有價證券買賣融資融券業務操作辦法</w:t>
            </w:r>
            <w:r w:rsidR="002151B0" w:rsidRPr="002151B0">
              <w:rPr>
                <w:rFonts w:ascii="標楷體" w:eastAsia="標楷體" w:hAnsi="標楷體" w:hint="eastAsia"/>
                <w:bCs/>
                <w:color w:val="000000" w:themeColor="text1"/>
                <w:szCs w:val="24"/>
              </w:rPr>
              <w:t>」</w:t>
            </w:r>
            <w:r w:rsidRPr="007D13BA">
              <w:rPr>
                <w:rFonts w:ascii="標楷體" w:eastAsia="標楷體" w:hAnsi="標楷體" w:hint="eastAsia"/>
                <w:bCs/>
                <w:color w:val="000000" w:themeColor="text1"/>
                <w:szCs w:val="24"/>
              </w:rPr>
              <w:t>第七十六條及第七十九條之</w:t>
            </w:r>
            <w:r w:rsidR="005716CB" w:rsidRPr="005716CB">
              <w:rPr>
                <w:rFonts w:ascii="標楷體" w:eastAsia="標楷體" w:hAnsi="標楷體" w:hint="eastAsia"/>
                <w:bCs/>
                <w:color w:val="000000" w:themeColor="text1"/>
                <w:szCs w:val="24"/>
              </w:rPr>
              <w:t>修正</w:t>
            </w:r>
            <w:r w:rsidRPr="007D13BA">
              <w:rPr>
                <w:rFonts w:ascii="標楷體" w:eastAsia="標楷體" w:hAnsi="標楷體" w:hint="eastAsia"/>
                <w:bCs/>
                <w:color w:val="000000" w:themeColor="text1"/>
                <w:szCs w:val="24"/>
              </w:rPr>
              <w:t>，</w:t>
            </w:r>
            <w:r w:rsidR="00314940" w:rsidRPr="00314940">
              <w:rPr>
                <w:rFonts w:ascii="標楷體" w:eastAsia="標楷體" w:hAnsi="標楷體" w:hint="eastAsia"/>
                <w:bCs/>
                <w:color w:val="000000" w:themeColor="text1"/>
                <w:szCs w:val="24"/>
              </w:rPr>
              <w:t>爰</w:t>
            </w:r>
            <w:r w:rsidRPr="007D13BA">
              <w:rPr>
                <w:rFonts w:ascii="標楷體" w:eastAsia="標楷體" w:hAnsi="標楷體" w:hint="eastAsia"/>
                <w:bCs/>
                <w:color w:val="000000" w:themeColor="text1"/>
                <w:szCs w:val="24"/>
              </w:rPr>
              <w:t>修正第一項及第二項文字。</w:t>
            </w:r>
          </w:p>
        </w:tc>
      </w:tr>
      <w:tr w:rsidR="00532328" w14:paraId="0D39587B" w14:textId="77777777">
        <w:tc>
          <w:tcPr>
            <w:tcW w:w="3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C3E57" w14:textId="77777777" w:rsidR="00311177" w:rsidRDefault="00311177" w:rsidP="00311177">
            <w:pPr>
              <w:spacing w:line="360" w:lineRule="exact"/>
              <w:ind w:left="240" w:hanging="240"/>
              <w:jc w:val="both"/>
              <w:rPr>
                <w:rFonts w:ascii="標楷體" w:eastAsia="標楷體" w:hAnsi="標楷體"/>
                <w:bCs/>
                <w:color w:val="000000"/>
                <w:szCs w:val="24"/>
              </w:rPr>
            </w:pPr>
            <w:r>
              <w:rPr>
                <w:rFonts w:ascii="標楷體" w:eastAsia="標楷體" w:hAnsi="標楷體"/>
                <w:bCs/>
                <w:color w:val="000000"/>
                <w:szCs w:val="24"/>
              </w:rPr>
              <w:t>第十</w:t>
            </w:r>
            <w:r>
              <w:rPr>
                <w:rFonts w:ascii="標楷體" w:eastAsia="標楷體" w:hAnsi="標楷體" w:hint="eastAsia"/>
                <w:bCs/>
                <w:color w:val="000000"/>
                <w:szCs w:val="24"/>
              </w:rPr>
              <w:t>四</w:t>
            </w:r>
            <w:r>
              <w:rPr>
                <w:rFonts w:ascii="標楷體" w:eastAsia="標楷體" w:hAnsi="標楷體"/>
                <w:bCs/>
                <w:color w:val="000000"/>
                <w:szCs w:val="24"/>
              </w:rPr>
              <w:t>條</w:t>
            </w:r>
          </w:p>
          <w:p w14:paraId="38303CDD" w14:textId="77777777" w:rsidR="00532328" w:rsidRDefault="00DE6339" w:rsidP="008B7532">
            <w:pPr>
              <w:spacing w:line="360" w:lineRule="exact"/>
              <w:ind w:firstLine="480"/>
              <w:jc w:val="both"/>
              <w:rPr>
                <w:rFonts w:ascii="標楷體" w:eastAsia="標楷體" w:hAnsi="標楷體"/>
                <w:bCs/>
                <w:szCs w:val="24"/>
              </w:rPr>
            </w:pPr>
            <w:r w:rsidRPr="008B7532">
              <w:rPr>
                <w:rFonts w:ascii="標楷體" w:eastAsia="標楷體" w:hAnsi="標楷體" w:hint="eastAsia"/>
                <w:bCs/>
                <w:szCs w:val="24"/>
              </w:rPr>
              <w:t>甲方於信用帳戶申請書所載本人、代理人、代表人或被授權人之姓名、身分證統一編號、</w:t>
            </w:r>
            <w:r w:rsidR="004734C9" w:rsidRPr="008B7532">
              <w:rPr>
                <w:rFonts w:ascii="標楷體" w:eastAsia="標楷體" w:hAnsi="標楷體" w:hint="eastAsia"/>
                <w:bCs/>
                <w:color w:val="FF0000"/>
                <w:szCs w:val="24"/>
                <w:u w:val="single"/>
              </w:rPr>
              <w:t>電子郵件</w:t>
            </w:r>
            <w:r w:rsidR="006C2B28" w:rsidRPr="008B7532">
              <w:rPr>
                <w:rFonts w:ascii="標楷體" w:eastAsia="標楷體" w:hAnsi="標楷體" w:hint="eastAsia"/>
                <w:bCs/>
                <w:color w:val="FF0000"/>
                <w:szCs w:val="24"/>
                <w:u w:val="single"/>
              </w:rPr>
              <w:t>、手機號碼、</w:t>
            </w:r>
            <w:r w:rsidRPr="008B7532">
              <w:rPr>
                <w:rFonts w:ascii="標楷體" w:eastAsia="標楷體" w:hAnsi="標楷體" w:hint="eastAsia"/>
                <w:bCs/>
                <w:szCs w:val="24"/>
              </w:rPr>
              <w:t>住居所、通訊處所及連絡電話業經變更，未即通知乙方者，乙方得暫停其融資買進、融券賣出交易。</w:t>
            </w:r>
          </w:p>
          <w:p w14:paraId="2D9BB909" w14:textId="77777777" w:rsidR="008B7532" w:rsidRDefault="00971641" w:rsidP="007A5070">
            <w:pPr>
              <w:spacing w:line="360" w:lineRule="exact"/>
              <w:ind w:firstLine="480"/>
              <w:jc w:val="both"/>
              <w:rPr>
                <w:rFonts w:ascii="標楷體" w:eastAsia="標楷體" w:hAnsi="標楷體"/>
                <w:bCs/>
                <w:color w:val="FF0000"/>
                <w:szCs w:val="24"/>
              </w:rPr>
            </w:pPr>
            <w:r w:rsidRPr="00C202CC">
              <w:rPr>
                <w:rFonts w:ascii="標楷體" w:eastAsia="標楷體" w:hAnsi="標楷體" w:hint="eastAsia"/>
                <w:bCs/>
                <w:color w:val="FF0000"/>
                <w:szCs w:val="24"/>
                <w:u w:val="single"/>
              </w:rPr>
              <w:t>乙方得受理甲方以書面或電子憑證認證方式，申請前項資料變更。甲方以電子憑證認證方式申請變更資料，變更資料內容以電子郵件、手機號碼、通訊處所地址及連絡電話為限</w:t>
            </w:r>
            <w:r w:rsidRPr="00971641">
              <w:rPr>
                <w:rFonts w:ascii="標楷體" w:eastAsia="標楷體" w:hAnsi="標楷體" w:hint="eastAsia"/>
                <w:bCs/>
                <w:color w:val="FF0000"/>
                <w:szCs w:val="24"/>
              </w:rPr>
              <w:t>。</w:t>
            </w:r>
          </w:p>
          <w:p w14:paraId="4A166470" w14:textId="77777777" w:rsidR="00F13E7B" w:rsidRPr="00C202CC" w:rsidRDefault="00F13E7B" w:rsidP="007A5070">
            <w:pPr>
              <w:spacing w:line="360" w:lineRule="exact"/>
              <w:ind w:firstLine="480"/>
              <w:jc w:val="both"/>
              <w:rPr>
                <w:rFonts w:ascii="標楷體" w:eastAsia="標楷體" w:hAnsi="標楷體"/>
                <w:bCs/>
                <w:color w:val="FF0000"/>
                <w:szCs w:val="24"/>
                <w:u w:val="single"/>
              </w:rPr>
            </w:pPr>
            <w:r w:rsidRPr="00C202CC">
              <w:rPr>
                <w:rFonts w:ascii="標楷體" w:eastAsia="標楷體" w:hAnsi="標楷體" w:hint="eastAsia"/>
                <w:bCs/>
                <w:color w:val="FF0000"/>
                <w:szCs w:val="24"/>
                <w:u w:val="single"/>
              </w:rPr>
              <w:t>前項電子憑證認證，係指以憑證機構簽發之電子簽章加以辨識及確認。</w:t>
            </w:r>
          </w:p>
        </w:tc>
        <w:tc>
          <w:tcPr>
            <w:tcW w:w="3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7F22E" w14:textId="77777777" w:rsidR="00311177" w:rsidRDefault="00311177" w:rsidP="00311177">
            <w:pPr>
              <w:spacing w:line="360" w:lineRule="exact"/>
              <w:ind w:left="240" w:hanging="240"/>
              <w:jc w:val="both"/>
              <w:rPr>
                <w:rFonts w:ascii="標楷體" w:eastAsia="標楷體" w:hAnsi="標楷體"/>
                <w:bCs/>
                <w:color w:val="000000"/>
                <w:szCs w:val="24"/>
              </w:rPr>
            </w:pPr>
            <w:r>
              <w:rPr>
                <w:rFonts w:ascii="標楷體" w:eastAsia="標楷體" w:hAnsi="標楷體"/>
                <w:bCs/>
                <w:color w:val="000000"/>
                <w:szCs w:val="24"/>
              </w:rPr>
              <w:t>第十</w:t>
            </w:r>
            <w:r>
              <w:rPr>
                <w:rFonts w:ascii="標楷體" w:eastAsia="標楷體" w:hAnsi="標楷體" w:hint="eastAsia"/>
                <w:bCs/>
                <w:color w:val="000000"/>
                <w:szCs w:val="24"/>
              </w:rPr>
              <w:t>四</w:t>
            </w:r>
            <w:r>
              <w:rPr>
                <w:rFonts w:ascii="標楷體" w:eastAsia="標楷體" w:hAnsi="標楷體"/>
                <w:bCs/>
                <w:color w:val="000000"/>
                <w:szCs w:val="24"/>
              </w:rPr>
              <w:t>條</w:t>
            </w:r>
          </w:p>
          <w:p w14:paraId="29B2B238" w14:textId="77777777" w:rsidR="00532328" w:rsidRPr="00311177" w:rsidRDefault="00311177" w:rsidP="008B7532">
            <w:pPr>
              <w:spacing w:line="360" w:lineRule="exact"/>
              <w:ind w:firstLine="480"/>
              <w:jc w:val="both"/>
              <w:rPr>
                <w:rFonts w:ascii="標楷體" w:eastAsia="標楷體" w:hAnsi="標楷體"/>
                <w:bCs/>
                <w:color w:val="000000" w:themeColor="text1"/>
                <w:szCs w:val="24"/>
              </w:rPr>
            </w:pPr>
            <w:r w:rsidRPr="008B7532">
              <w:rPr>
                <w:rFonts w:ascii="標楷體" w:eastAsia="標楷體" w:hAnsi="標楷體" w:hint="eastAsia"/>
                <w:bCs/>
                <w:szCs w:val="24"/>
              </w:rPr>
              <w:t>甲方於信用帳戶申請書所載本人、代理人、代表人或被授權人之姓名、身分證統一編號、住居所、通訊處所及連絡電話業經變更，未即</w:t>
            </w:r>
            <w:r w:rsidRPr="0091564D">
              <w:rPr>
                <w:rFonts w:ascii="標楷體" w:eastAsia="標楷體" w:hAnsi="標楷體" w:hint="eastAsia"/>
                <w:bCs/>
                <w:color w:val="FF0000"/>
                <w:szCs w:val="24"/>
                <w:u w:val="single"/>
              </w:rPr>
              <w:t>以書面</w:t>
            </w:r>
            <w:r w:rsidRPr="008B7532">
              <w:rPr>
                <w:rFonts w:ascii="標楷體" w:eastAsia="標楷體" w:hAnsi="標楷體" w:hint="eastAsia"/>
                <w:bCs/>
                <w:szCs w:val="24"/>
              </w:rPr>
              <w:t>通知乙方者，乙方得暫停其融資買進、融券賣出交易。</w:t>
            </w:r>
          </w:p>
        </w:tc>
        <w:tc>
          <w:tcPr>
            <w:tcW w:w="3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BCA36" w14:textId="77777777" w:rsidR="00532328" w:rsidRPr="007D13BA" w:rsidRDefault="00311177" w:rsidP="006258EF">
            <w:pPr>
              <w:pStyle w:val="a7"/>
              <w:spacing w:line="360" w:lineRule="exact"/>
              <w:ind w:left="0"/>
              <w:jc w:val="both"/>
              <w:rPr>
                <w:rFonts w:ascii="標楷體" w:eastAsia="標楷體" w:hAnsi="標楷體"/>
                <w:bCs/>
                <w:color w:val="000000" w:themeColor="text1"/>
                <w:szCs w:val="24"/>
              </w:rPr>
            </w:pPr>
            <w:r w:rsidRPr="007D13BA">
              <w:rPr>
                <w:rFonts w:ascii="標楷體" w:eastAsia="標楷體" w:hAnsi="標楷體" w:hint="eastAsia"/>
                <w:bCs/>
                <w:color w:val="000000" w:themeColor="text1"/>
                <w:szCs w:val="24"/>
              </w:rPr>
              <w:t>配合</w:t>
            </w:r>
            <w:r>
              <w:rPr>
                <w:rFonts w:ascii="標楷體" w:eastAsia="標楷體" w:hAnsi="標楷體" w:hint="eastAsia"/>
                <w:bCs/>
                <w:color w:val="000000" w:themeColor="text1"/>
                <w:szCs w:val="24"/>
              </w:rPr>
              <w:t>「</w:t>
            </w:r>
            <w:r w:rsidRPr="007D13BA">
              <w:rPr>
                <w:rFonts w:ascii="標楷體" w:eastAsia="標楷體" w:hAnsi="標楷體" w:hint="eastAsia"/>
                <w:bCs/>
                <w:color w:val="000000" w:themeColor="text1"/>
                <w:szCs w:val="24"/>
              </w:rPr>
              <w:t>證券商辦理有價證券買賣融資融券業務操作辦法</w:t>
            </w:r>
            <w:r>
              <w:rPr>
                <w:rFonts w:ascii="標楷體" w:eastAsia="標楷體" w:hAnsi="標楷體" w:hint="eastAsia"/>
                <w:bCs/>
                <w:color w:val="000000" w:themeColor="text1"/>
                <w:szCs w:val="24"/>
              </w:rPr>
              <w:t>」</w:t>
            </w:r>
            <w:r w:rsidRPr="007D13BA">
              <w:rPr>
                <w:rFonts w:ascii="標楷體" w:eastAsia="標楷體" w:hAnsi="標楷體" w:hint="eastAsia"/>
                <w:bCs/>
                <w:color w:val="000000" w:themeColor="text1"/>
                <w:szCs w:val="24"/>
              </w:rPr>
              <w:t>第</w:t>
            </w:r>
            <w:r w:rsidRPr="00C35AC9">
              <w:rPr>
                <w:rFonts w:ascii="標楷體" w:eastAsia="標楷體" w:hAnsi="標楷體" w:hint="eastAsia"/>
                <w:bCs/>
                <w:color w:val="000000" w:themeColor="text1"/>
                <w:szCs w:val="24"/>
              </w:rPr>
              <w:t>四</w:t>
            </w:r>
            <w:r w:rsidRPr="007D13BA">
              <w:rPr>
                <w:rFonts w:ascii="標楷體" w:eastAsia="標楷體" w:hAnsi="標楷體" w:hint="eastAsia"/>
                <w:bCs/>
                <w:color w:val="000000" w:themeColor="text1"/>
                <w:szCs w:val="24"/>
              </w:rPr>
              <w:t>十</w:t>
            </w:r>
            <w:r w:rsidR="006B0CDA">
              <w:rPr>
                <w:rFonts w:ascii="標楷體" w:eastAsia="標楷體" w:hAnsi="標楷體" w:hint="eastAsia"/>
                <w:bCs/>
                <w:color w:val="000000" w:themeColor="text1"/>
                <w:szCs w:val="24"/>
              </w:rPr>
              <w:t>五</w:t>
            </w:r>
            <w:r w:rsidRPr="007D13BA">
              <w:rPr>
                <w:rFonts w:ascii="標楷體" w:eastAsia="標楷體" w:hAnsi="標楷體" w:hint="eastAsia"/>
                <w:bCs/>
                <w:color w:val="000000" w:themeColor="text1"/>
                <w:szCs w:val="24"/>
              </w:rPr>
              <w:t>條</w:t>
            </w:r>
            <w:r w:rsidRPr="00C35AC9">
              <w:rPr>
                <w:rFonts w:ascii="標楷體" w:eastAsia="標楷體" w:hAnsi="標楷體" w:hint="eastAsia"/>
                <w:bCs/>
                <w:color w:val="000000" w:themeColor="text1"/>
                <w:szCs w:val="24"/>
              </w:rPr>
              <w:t>修正</w:t>
            </w:r>
            <w:r w:rsidRPr="007D13BA">
              <w:rPr>
                <w:rFonts w:ascii="標楷體" w:eastAsia="標楷體" w:hAnsi="標楷體" w:hint="eastAsia"/>
                <w:bCs/>
                <w:color w:val="000000" w:themeColor="text1"/>
                <w:szCs w:val="24"/>
              </w:rPr>
              <w:t>，</w:t>
            </w:r>
            <w:r w:rsidRPr="00C35AC9">
              <w:rPr>
                <w:rFonts w:ascii="標楷體" w:eastAsia="標楷體" w:hAnsi="標楷體" w:hint="eastAsia"/>
                <w:bCs/>
                <w:color w:val="000000" w:themeColor="text1"/>
                <w:szCs w:val="24"/>
              </w:rPr>
              <w:t>爰</w:t>
            </w:r>
            <w:r w:rsidRPr="007D13BA">
              <w:rPr>
                <w:rFonts w:ascii="標楷體" w:eastAsia="標楷體" w:hAnsi="標楷體" w:hint="eastAsia"/>
                <w:bCs/>
                <w:color w:val="000000" w:themeColor="text1"/>
                <w:szCs w:val="24"/>
              </w:rPr>
              <w:t>修正第一項</w:t>
            </w:r>
            <w:r w:rsidRPr="00C35AC9">
              <w:rPr>
                <w:rFonts w:ascii="標楷體" w:eastAsia="標楷體" w:hAnsi="標楷體" w:hint="eastAsia"/>
                <w:bCs/>
                <w:color w:val="000000" w:themeColor="text1"/>
                <w:szCs w:val="24"/>
              </w:rPr>
              <w:t>、</w:t>
            </w:r>
            <w:r w:rsidR="009D194D">
              <w:rPr>
                <w:rFonts w:ascii="標楷體" w:eastAsia="標楷體" w:hAnsi="標楷體" w:hint="eastAsia"/>
                <w:bCs/>
                <w:color w:val="000000" w:themeColor="text1"/>
                <w:szCs w:val="24"/>
              </w:rPr>
              <w:t>新增</w:t>
            </w:r>
            <w:r w:rsidRPr="007D13BA">
              <w:rPr>
                <w:rFonts w:ascii="標楷體" w:eastAsia="標楷體" w:hAnsi="標楷體" w:hint="eastAsia"/>
                <w:bCs/>
                <w:color w:val="000000" w:themeColor="text1"/>
                <w:szCs w:val="24"/>
              </w:rPr>
              <w:t>第二項</w:t>
            </w:r>
            <w:r w:rsidR="00B70A04">
              <w:rPr>
                <w:rFonts w:ascii="標楷體" w:eastAsia="標楷體" w:hAnsi="標楷體" w:hint="eastAsia"/>
                <w:bCs/>
                <w:color w:val="000000" w:themeColor="text1"/>
                <w:szCs w:val="24"/>
              </w:rPr>
              <w:t>及第三項</w:t>
            </w:r>
            <w:r w:rsidRPr="007D13BA">
              <w:rPr>
                <w:rFonts w:ascii="標楷體" w:eastAsia="標楷體" w:hAnsi="標楷體" w:hint="eastAsia"/>
                <w:bCs/>
                <w:color w:val="000000" w:themeColor="text1"/>
                <w:szCs w:val="24"/>
              </w:rPr>
              <w:t>。</w:t>
            </w:r>
          </w:p>
        </w:tc>
      </w:tr>
      <w:tr w:rsidR="006258EF" w14:paraId="0D67FC95" w14:textId="77777777">
        <w:tc>
          <w:tcPr>
            <w:tcW w:w="32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41882" w14:textId="77777777" w:rsidR="006258EF" w:rsidRDefault="006258EF" w:rsidP="006258EF">
            <w:pPr>
              <w:spacing w:line="360" w:lineRule="exact"/>
              <w:ind w:left="240" w:hanging="240"/>
              <w:jc w:val="both"/>
              <w:rPr>
                <w:rFonts w:ascii="標楷體" w:eastAsia="標楷體" w:hAnsi="標楷體"/>
                <w:bCs/>
                <w:color w:val="000000"/>
                <w:szCs w:val="24"/>
              </w:rPr>
            </w:pPr>
            <w:r>
              <w:rPr>
                <w:rFonts w:ascii="標楷體" w:eastAsia="標楷體" w:hAnsi="標楷體"/>
                <w:bCs/>
                <w:color w:val="000000"/>
                <w:szCs w:val="24"/>
              </w:rPr>
              <w:t>第十五條</w:t>
            </w:r>
          </w:p>
          <w:p w14:paraId="742D2B69" w14:textId="77777777" w:rsidR="00530975" w:rsidRPr="008B7532" w:rsidRDefault="00530975" w:rsidP="008B7532">
            <w:pPr>
              <w:spacing w:line="360" w:lineRule="exact"/>
              <w:ind w:firstLine="480"/>
              <w:jc w:val="both"/>
              <w:rPr>
                <w:rFonts w:ascii="標楷體" w:eastAsia="標楷體" w:hAnsi="標楷體"/>
                <w:bCs/>
                <w:szCs w:val="24"/>
              </w:rPr>
            </w:pPr>
            <w:r w:rsidRPr="008B7532">
              <w:rPr>
                <w:rFonts w:ascii="標楷體" w:eastAsia="標楷體" w:hAnsi="標楷體"/>
                <w:bCs/>
                <w:szCs w:val="24"/>
              </w:rPr>
              <w:t>乙方依本契約及相關規定應行通知甲方之事項，</w:t>
            </w:r>
            <w:r w:rsidR="00071742">
              <w:rPr>
                <w:rFonts w:ascii="標楷體" w:eastAsia="標楷體" w:hAnsi="標楷體"/>
                <w:bCs/>
                <w:szCs w:val="24"/>
              </w:rPr>
              <w:t>以郵寄</w:t>
            </w:r>
            <w:r w:rsidR="00071742" w:rsidRPr="00071742">
              <w:rPr>
                <w:rFonts w:ascii="標楷體" w:eastAsia="標楷體" w:hAnsi="標楷體" w:hint="eastAsia"/>
                <w:bCs/>
                <w:color w:val="FF0000"/>
                <w:szCs w:val="24"/>
                <w:u w:val="single"/>
              </w:rPr>
              <w:t>或</w:t>
            </w:r>
            <w:r w:rsidRPr="008B7532">
              <w:rPr>
                <w:rFonts w:ascii="標楷體" w:eastAsia="標楷體" w:hAnsi="標楷體"/>
                <w:bCs/>
                <w:szCs w:val="24"/>
              </w:rPr>
              <w:t>電子郵件</w:t>
            </w:r>
            <w:r w:rsidRPr="008B7532">
              <w:rPr>
                <w:rFonts w:ascii="標楷體" w:eastAsia="標楷體" w:hAnsi="標楷體"/>
                <w:bCs/>
                <w:color w:val="FF0000"/>
                <w:szCs w:val="24"/>
                <w:u w:val="single"/>
              </w:rPr>
              <w:t>、手機簡訊、公司行動裝置應用軟體</w:t>
            </w:r>
            <w:r w:rsidR="00071742">
              <w:rPr>
                <w:rFonts w:ascii="標楷體" w:eastAsia="標楷體" w:hAnsi="標楷體" w:hint="eastAsia"/>
                <w:bCs/>
                <w:color w:val="FF0000"/>
                <w:szCs w:val="24"/>
                <w:u w:val="single"/>
              </w:rPr>
              <w:t>之</w:t>
            </w:r>
            <w:r w:rsidRPr="008B7532">
              <w:rPr>
                <w:rFonts w:ascii="標楷體" w:eastAsia="標楷體" w:hAnsi="標楷體"/>
                <w:bCs/>
                <w:color w:val="FF0000"/>
                <w:szCs w:val="24"/>
                <w:u w:val="single"/>
              </w:rPr>
              <w:t>電子化方式</w:t>
            </w:r>
            <w:r w:rsidR="00071742">
              <w:rPr>
                <w:rFonts w:ascii="標楷體" w:eastAsia="標楷體" w:hAnsi="標楷體" w:hint="eastAsia"/>
                <w:bCs/>
                <w:color w:val="FF0000"/>
                <w:szCs w:val="24"/>
                <w:u w:val="single"/>
              </w:rPr>
              <w:t>，</w:t>
            </w:r>
            <w:r w:rsidRPr="008B7532">
              <w:rPr>
                <w:rFonts w:ascii="標楷體" w:eastAsia="標楷體" w:hAnsi="標楷體"/>
                <w:bCs/>
                <w:szCs w:val="24"/>
              </w:rPr>
              <w:t>或甲方當面簽收方式為之。</w:t>
            </w:r>
          </w:p>
          <w:p w14:paraId="03E7427A" w14:textId="77777777" w:rsidR="000019CA" w:rsidRPr="000019CA" w:rsidRDefault="00530975" w:rsidP="000019CA">
            <w:pPr>
              <w:spacing w:line="360" w:lineRule="exact"/>
              <w:ind w:firstLine="480"/>
              <w:jc w:val="both"/>
              <w:rPr>
                <w:rFonts w:ascii="標楷體" w:eastAsia="標楷體" w:hAnsi="標楷體"/>
                <w:bCs/>
                <w:szCs w:val="24"/>
              </w:rPr>
            </w:pPr>
            <w:r w:rsidRPr="000019CA">
              <w:rPr>
                <w:rFonts w:ascii="標楷體" w:eastAsia="標楷體" w:hAnsi="標楷體"/>
                <w:bCs/>
                <w:szCs w:val="24"/>
              </w:rPr>
              <w:t>甲方要求乙方以電子</w:t>
            </w:r>
            <w:r w:rsidRPr="000019CA">
              <w:rPr>
                <w:rFonts w:ascii="標楷體" w:eastAsia="標楷體" w:hAnsi="標楷體"/>
                <w:bCs/>
                <w:color w:val="FF0000"/>
                <w:szCs w:val="24"/>
                <w:u w:val="single"/>
              </w:rPr>
              <w:t>化</w:t>
            </w:r>
            <w:r w:rsidRPr="000019CA">
              <w:rPr>
                <w:rFonts w:ascii="標楷體" w:eastAsia="標楷體" w:hAnsi="標楷體"/>
                <w:bCs/>
                <w:szCs w:val="24"/>
              </w:rPr>
              <w:t>方式通知者，應事先出具書面或電子同意書</w:t>
            </w:r>
            <w:r w:rsidR="00002B9E" w:rsidRPr="00DB5CAD">
              <w:rPr>
                <w:rFonts w:ascii="標楷體" w:eastAsia="標楷體" w:hAnsi="標楷體"/>
                <w:bCs/>
                <w:color w:val="FF0000"/>
                <w:szCs w:val="24"/>
                <w:u w:val="single"/>
              </w:rPr>
              <w:t>。甲方得隨</w:t>
            </w:r>
            <w:r w:rsidR="00002B9E" w:rsidRPr="00DB5CAD">
              <w:rPr>
                <w:rFonts w:ascii="標楷體" w:eastAsia="標楷體" w:hAnsi="標楷體"/>
                <w:bCs/>
                <w:color w:val="FF0000"/>
                <w:szCs w:val="24"/>
                <w:u w:val="single"/>
              </w:rPr>
              <w:lastRenderedPageBreak/>
              <w:t>時向乙方表示停止採用前述方式，經乙方同意後停止之。但停止前所為之法律行為，其效力不受影響</w:t>
            </w:r>
            <w:r w:rsidR="00002B9E" w:rsidRPr="00DB5CAD">
              <w:rPr>
                <w:rFonts w:ascii="標楷體" w:eastAsia="標楷體" w:hAnsi="標楷體"/>
                <w:bCs/>
                <w:color w:val="000000" w:themeColor="text1"/>
                <w:szCs w:val="24"/>
              </w:rPr>
              <w:t>。</w:t>
            </w:r>
          </w:p>
          <w:p w14:paraId="59EDE204" w14:textId="77777777" w:rsidR="00530975" w:rsidRPr="005D0983" w:rsidRDefault="00530975" w:rsidP="005D0983">
            <w:pPr>
              <w:spacing w:line="360" w:lineRule="exact"/>
              <w:ind w:firstLine="480"/>
              <w:jc w:val="both"/>
              <w:rPr>
                <w:rFonts w:ascii="標楷體" w:eastAsia="標楷體" w:hAnsi="標楷體"/>
                <w:bCs/>
                <w:color w:val="FF0000"/>
                <w:szCs w:val="24"/>
                <w:u w:val="single"/>
              </w:rPr>
            </w:pPr>
            <w:r w:rsidRPr="005D0983">
              <w:rPr>
                <w:rFonts w:ascii="標楷體" w:eastAsia="標楷體" w:hAnsi="標楷體"/>
                <w:bCs/>
                <w:color w:val="FF0000"/>
                <w:szCs w:val="24"/>
                <w:u w:val="single"/>
              </w:rPr>
              <w:t>乙方</w:t>
            </w:r>
            <w:r w:rsidR="009633C7">
              <w:rPr>
                <w:rFonts w:ascii="標楷體" w:eastAsia="標楷體" w:hAnsi="標楷體" w:hint="eastAsia"/>
                <w:bCs/>
                <w:color w:val="FF0000"/>
                <w:szCs w:val="24"/>
                <w:u w:val="single"/>
              </w:rPr>
              <w:t>採電子化方式</w:t>
            </w:r>
            <w:r w:rsidRPr="005D0983">
              <w:rPr>
                <w:rFonts w:ascii="標楷體" w:eastAsia="標楷體" w:hAnsi="標楷體"/>
                <w:bCs/>
                <w:color w:val="FF0000"/>
                <w:szCs w:val="24"/>
                <w:u w:val="single"/>
              </w:rPr>
              <w:t>通知甲方限期辦理之截止日，與郵寄通知方式所定截止日同。</w:t>
            </w:r>
          </w:p>
          <w:p w14:paraId="160486ED" w14:textId="77777777" w:rsidR="00530975" w:rsidRPr="005D0983" w:rsidRDefault="00530975" w:rsidP="005D0983">
            <w:pPr>
              <w:spacing w:line="360" w:lineRule="exact"/>
              <w:ind w:firstLine="480"/>
              <w:jc w:val="both"/>
              <w:rPr>
                <w:rFonts w:ascii="標楷體" w:eastAsia="標楷體" w:hAnsi="標楷體"/>
                <w:bCs/>
                <w:szCs w:val="24"/>
              </w:rPr>
            </w:pPr>
            <w:r w:rsidRPr="005D0983">
              <w:rPr>
                <w:rFonts w:ascii="標楷體" w:eastAsia="標楷體" w:hAnsi="標楷體"/>
                <w:bCs/>
                <w:szCs w:val="24"/>
              </w:rPr>
              <w:t>乙方以郵寄方式通知者，如因甲方未為前條之變更通知或其他可歸責甲方之事由，致無法如期送達者，於郵局第一次投遞時發生</w:t>
            </w:r>
            <w:r w:rsidRPr="009738D3">
              <w:rPr>
                <w:rFonts w:ascii="標楷體" w:eastAsia="標楷體" w:hAnsi="標楷體"/>
                <w:bCs/>
                <w:szCs w:val="24"/>
              </w:rPr>
              <w:t>通知</w:t>
            </w:r>
            <w:r w:rsidRPr="005D0983">
              <w:rPr>
                <w:rFonts w:ascii="標楷體" w:eastAsia="標楷體" w:hAnsi="標楷體"/>
                <w:bCs/>
                <w:szCs w:val="24"/>
              </w:rPr>
              <w:t>效力</w:t>
            </w:r>
            <w:r w:rsidR="009633C7">
              <w:rPr>
                <w:rFonts w:ascii="標楷體" w:eastAsia="標楷體" w:hAnsi="標楷體" w:hint="eastAsia"/>
                <w:bCs/>
                <w:color w:val="FF0000"/>
                <w:szCs w:val="24"/>
                <w:u w:val="single"/>
              </w:rPr>
              <w:t>；以</w:t>
            </w:r>
            <w:r w:rsidR="009633C7" w:rsidRPr="009633C7">
              <w:rPr>
                <w:rFonts w:ascii="標楷體" w:eastAsia="標楷體" w:hAnsi="標楷體" w:hint="eastAsia"/>
                <w:bCs/>
                <w:color w:val="FF0000"/>
                <w:szCs w:val="24"/>
                <w:u w:val="single"/>
              </w:rPr>
              <w:t>電子化方式通知者，於</w:t>
            </w:r>
            <w:r w:rsidR="009633C7" w:rsidRPr="009738D3">
              <w:rPr>
                <w:rFonts w:ascii="標楷體" w:eastAsia="標楷體" w:hAnsi="標楷體" w:hint="eastAsia"/>
                <w:bCs/>
                <w:color w:val="FF0000"/>
                <w:szCs w:val="24"/>
                <w:u w:val="single"/>
              </w:rPr>
              <w:t>通知</w:t>
            </w:r>
            <w:r w:rsidR="009633C7" w:rsidRPr="009633C7">
              <w:rPr>
                <w:rFonts w:ascii="標楷體" w:eastAsia="標楷體" w:hAnsi="標楷體" w:hint="eastAsia"/>
                <w:bCs/>
                <w:color w:val="FF0000"/>
                <w:szCs w:val="24"/>
                <w:u w:val="single"/>
              </w:rPr>
              <w:t>之次一營業日發生通知效力</w:t>
            </w:r>
            <w:r w:rsidR="003F4B5C" w:rsidRPr="003F4B5C">
              <w:rPr>
                <w:rFonts w:ascii="標楷體" w:eastAsia="標楷體" w:hAnsi="標楷體"/>
                <w:bCs/>
                <w:color w:val="000000" w:themeColor="text1"/>
                <w:szCs w:val="24"/>
              </w:rPr>
              <w:t>。</w:t>
            </w:r>
          </w:p>
          <w:p w14:paraId="46B8F2E9" w14:textId="77777777" w:rsidR="006258EF" w:rsidRDefault="00530975" w:rsidP="00775AE5">
            <w:pPr>
              <w:spacing w:line="360" w:lineRule="exact"/>
              <w:ind w:firstLine="480"/>
              <w:jc w:val="both"/>
              <w:rPr>
                <w:rFonts w:ascii="標楷體" w:eastAsia="標楷體" w:hAnsi="標楷體"/>
                <w:bCs/>
                <w:color w:val="000000"/>
                <w:szCs w:val="24"/>
              </w:rPr>
            </w:pPr>
            <w:r w:rsidRPr="00775AE5">
              <w:rPr>
                <w:rFonts w:ascii="標楷體" w:eastAsia="標楷體" w:hAnsi="標楷體"/>
                <w:bCs/>
                <w:szCs w:val="24"/>
              </w:rPr>
              <w:t>乙方通知事項由甲方當面簽收者，甲方之簽章應與本契約簽名樣式或原留印鑑相符，並親署日期。</w:t>
            </w:r>
          </w:p>
        </w:tc>
        <w:tc>
          <w:tcPr>
            <w:tcW w:w="3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BB30E" w14:textId="77777777" w:rsidR="006258EF" w:rsidRDefault="006258EF" w:rsidP="006258EF">
            <w:pPr>
              <w:spacing w:line="360" w:lineRule="exact"/>
              <w:ind w:left="240" w:hanging="240"/>
              <w:jc w:val="both"/>
              <w:rPr>
                <w:rFonts w:ascii="標楷體" w:eastAsia="標楷體" w:hAnsi="標楷體"/>
                <w:bCs/>
                <w:color w:val="000000"/>
                <w:szCs w:val="24"/>
              </w:rPr>
            </w:pPr>
            <w:r>
              <w:rPr>
                <w:rFonts w:ascii="標楷體" w:eastAsia="標楷體" w:hAnsi="標楷體"/>
                <w:bCs/>
                <w:color w:val="000000"/>
                <w:szCs w:val="24"/>
              </w:rPr>
              <w:lastRenderedPageBreak/>
              <w:t>第十五條</w:t>
            </w:r>
          </w:p>
          <w:p w14:paraId="3320F4D5" w14:textId="77777777" w:rsidR="00530975" w:rsidRPr="006F5C22" w:rsidRDefault="00530975" w:rsidP="006F5C22">
            <w:pPr>
              <w:spacing w:line="360" w:lineRule="exact"/>
              <w:ind w:firstLine="480"/>
              <w:jc w:val="both"/>
              <w:rPr>
                <w:rFonts w:ascii="標楷體" w:eastAsia="標楷體" w:hAnsi="標楷體"/>
                <w:bCs/>
                <w:szCs w:val="24"/>
              </w:rPr>
            </w:pPr>
            <w:r w:rsidRPr="008B7532">
              <w:rPr>
                <w:rFonts w:ascii="標楷體" w:eastAsia="標楷體" w:hAnsi="標楷體"/>
                <w:bCs/>
                <w:szCs w:val="24"/>
              </w:rPr>
              <w:t>乙方依本契約及相關規定應行通知甲方之事項，以郵寄、</w:t>
            </w:r>
            <w:r w:rsidRPr="007A5070">
              <w:rPr>
                <w:rFonts w:ascii="標楷體" w:eastAsia="標楷體" w:hAnsi="標楷體"/>
                <w:bCs/>
                <w:color w:val="FF0000"/>
                <w:szCs w:val="24"/>
                <w:u w:val="single"/>
              </w:rPr>
              <w:t>符合電子簽章規定之</w:t>
            </w:r>
            <w:r w:rsidRPr="008B7532">
              <w:rPr>
                <w:rFonts w:ascii="標楷體" w:eastAsia="標楷體" w:hAnsi="標楷體"/>
                <w:bCs/>
                <w:szCs w:val="24"/>
              </w:rPr>
              <w:t>電子郵件或甲方當面簽收方式為之。</w:t>
            </w:r>
          </w:p>
          <w:p w14:paraId="125D5391" w14:textId="77777777" w:rsidR="00F56D65" w:rsidRDefault="00F56D65" w:rsidP="00530975">
            <w:pPr>
              <w:spacing w:line="360" w:lineRule="exact"/>
              <w:jc w:val="both"/>
              <w:rPr>
                <w:rFonts w:ascii="標楷體" w:eastAsia="標楷體" w:hAnsi="標楷體"/>
                <w:bCs/>
                <w:color w:val="000000" w:themeColor="text1"/>
                <w:szCs w:val="24"/>
              </w:rPr>
            </w:pPr>
          </w:p>
          <w:p w14:paraId="215BA065" w14:textId="77777777" w:rsidR="00530975" w:rsidRPr="00D07AC5" w:rsidRDefault="00530975" w:rsidP="00D07AC5">
            <w:pPr>
              <w:spacing w:line="360" w:lineRule="exact"/>
              <w:ind w:firstLine="480"/>
              <w:jc w:val="both"/>
              <w:rPr>
                <w:rFonts w:ascii="標楷體" w:eastAsia="標楷體" w:hAnsi="標楷體"/>
                <w:bCs/>
                <w:szCs w:val="24"/>
              </w:rPr>
            </w:pPr>
            <w:r w:rsidRPr="00D07AC5">
              <w:rPr>
                <w:rFonts w:ascii="標楷體" w:eastAsia="標楷體" w:hAnsi="標楷體"/>
                <w:bCs/>
                <w:szCs w:val="24"/>
              </w:rPr>
              <w:t>甲方要求乙方以電子</w:t>
            </w:r>
            <w:r w:rsidRPr="00D9302C">
              <w:rPr>
                <w:rFonts w:ascii="標楷體" w:eastAsia="標楷體" w:hAnsi="標楷體"/>
                <w:bCs/>
                <w:color w:val="000000" w:themeColor="text1"/>
                <w:szCs w:val="24"/>
              </w:rPr>
              <w:t>郵件</w:t>
            </w:r>
            <w:r w:rsidRPr="00D07AC5">
              <w:rPr>
                <w:rFonts w:ascii="標楷體" w:eastAsia="標楷體" w:hAnsi="標楷體"/>
                <w:bCs/>
                <w:szCs w:val="24"/>
              </w:rPr>
              <w:t>方式通知者，應事先出具書面或電子同意書</w:t>
            </w:r>
            <w:r w:rsidRPr="00D07AC5">
              <w:rPr>
                <w:rFonts w:ascii="標楷體" w:eastAsia="標楷體" w:hAnsi="標楷體"/>
                <w:bCs/>
                <w:color w:val="FF0000"/>
                <w:szCs w:val="24"/>
                <w:u w:val="single"/>
              </w:rPr>
              <w:t>；乙方通</w:t>
            </w:r>
            <w:r w:rsidRPr="00D07AC5">
              <w:rPr>
                <w:rFonts w:ascii="標楷體" w:eastAsia="標楷體" w:hAnsi="標楷體"/>
                <w:bCs/>
                <w:color w:val="FF0000"/>
                <w:szCs w:val="24"/>
                <w:u w:val="single"/>
              </w:rPr>
              <w:lastRenderedPageBreak/>
              <w:t>知甲方限期辦理之截止日，與郵寄通知方式所定截止日同</w:t>
            </w:r>
            <w:r w:rsidRPr="00D07AC5">
              <w:rPr>
                <w:rFonts w:ascii="標楷體" w:eastAsia="標楷體" w:hAnsi="標楷體"/>
                <w:bCs/>
                <w:szCs w:val="24"/>
              </w:rPr>
              <w:t>。</w:t>
            </w:r>
          </w:p>
          <w:p w14:paraId="5324F771" w14:textId="77777777" w:rsidR="00002B9E" w:rsidRDefault="00002B9E" w:rsidP="00147691">
            <w:pPr>
              <w:spacing w:line="360" w:lineRule="exact"/>
              <w:ind w:firstLineChars="225" w:firstLine="540"/>
              <w:jc w:val="both"/>
              <w:rPr>
                <w:rFonts w:ascii="標楷體" w:eastAsia="標楷體" w:hAnsi="標楷體"/>
                <w:bCs/>
                <w:color w:val="000000" w:themeColor="text1"/>
                <w:szCs w:val="24"/>
              </w:rPr>
            </w:pPr>
          </w:p>
          <w:p w14:paraId="4C357F18" w14:textId="77777777" w:rsidR="00002B9E" w:rsidRDefault="00002B9E" w:rsidP="00147691">
            <w:pPr>
              <w:spacing w:line="360" w:lineRule="exact"/>
              <w:ind w:firstLineChars="225" w:firstLine="540"/>
              <w:jc w:val="both"/>
              <w:rPr>
                <w:rFonts w:ascii="標楷體" w:eastAsia="標楷體" w:hAnsi="標楷體"/>
                <w:bCs/>
                <w:color w:val="000000" w:themeColor="text1"/>
                <w:szCs w:val="24"/>
              </w:rPr>
            </w:pPr>
          </w:p>
          <w:p w14:paraId="3B599BC7" w14:textId="77777777" w:rsidR="00002B9E" w:rsidRDefault="00002B9E" w:rsidP="00147691">
            <w:pPr>
              <w:spacing w:line="360" w:lineRule="exact"/>
              <w:ind w:firstLineChars="225" w:firstLine="540"/>
              <w:jc w:val="both"/>
              <w:rPr>
                <w:rFonts w:ascii="標楷體" w:eastAsia="標楷體" w:hAnsi="標楷體"/>
                <w:bCs/>
                <w:color w:val="000000" w:themeColor="text1"/>
                <w:szCs w:val="24"/>
              </w:rPr>
            </w:pPr>
          </w:p>
          <w:p w14:paraId="77B9F5E2" w14:textId="77777777" w:rsidR="00002B9E" w:rsidRDefault="00002B9E" w:rsidP="00147691">
            <w:pPr>
              <w:spacing w:line="360" w:lineRule="exact"/>
              <w:ind w:firstLineChars="225" w:firstLine="540"/>
              <w:jc w:val="both"/>
              <w:rPr>
                <w:rFonts w:ascii="標楷體" w:eastAsia="標楷體" w:hAnsi="標楷體"/>
                <w:bCs/>
                <w:color w:val="000000" w:themeColor="text1"/>
                <w:szCs w:val="24"/>
              </w:rPr>
            </w:pPr>
          </w:p>
          <w:p w14:paraId="341AE214" w14:textId="77777777" w:rsidR="002F5692" w:rsidRDefault="002F5692" w:rsidP="00147691">
            <w:pPr>
              <w:spacing w:line="360" w:lineRule="exact"/>
              <w:ind w:firstLineChars="225" w:firstLine="540"/>
              <w:jc w:val="both"/>
              <w:rPr>
                <w:rFonts w:ascii="標楷體" w:eastAsia="標楷體" w:hAnsi="標楷體"/>
                <w:bCs/>
                <w:color w:val="000000" w:themeColor="text1"/>
                <w:szCs w:val="24"/>
              </w:rPr>
            </w:pPr>
          </w:p>
          <w:p w14:paraId="065FE03A" w14:textId="77777777" w:rsidR="00C35AC9" w:rsidRPr="002F5692" w:rsidRDefault="00530975" w:rsidP="002F5692">
            <w:pPr>
              <w:spacing w:line="360" w:lineRule="exact"/>
              <w:ind w:firstLine="480"/>
              <w:jc w:val="both"/>
              <w:rPr>
                <w:rFonts w:ascii="標楷體" w:eastAsia="標楷體" w:hAnsi="標楷體"/>
                <w:bCs/>
                <w:szCs w:val="24"/>
              </w:rPr>
            </w:pPr>
            <w:r w:rsidRPr="00775AE5">
              <w:rPr>
                <w:rFonts w:ascii="標楷體" w:eastAsia="標楷體" w:hAnsi="標楷體"/>
                <w:bCs/>
                <w:szCs w:val="24"/>
              </w:rPr>
              <w:t>乙方以郵寄方式通知者，如因甲方未為前條之變更通知或其他可歸責甲方之事由，致無法如期送達者，於郵局第一次投遞時發生通知效力。</w:t>
            </w:r>
          </w:p>
          <w:p w14:paraId="2729C513" w14:textId="77777777" w:rsidR="009633C7" w:rsidRDefault="009633C7" w:rsidP="00147691">
            <w:pPr>
              <w:spacing w:line="360" w:lineRule="exact"/>
              <w:ind w:firstLineChars="225" w:firstLine="540"/>
              <w:jc w:val="both"/>
              <w:rPr>
                <w:rFonts w:ascii="標楷體" w:eastAsia="標楷體" w:hAnsi="標楷體"/>
                <w:bCs/>
                <w:color w:val="000000" w:themeColor="text1"/>
                <w:szCs w:val="24"/>
              </w:rPr>
            </w:pPr>
          </w:p>
          <w:p w14:paraId="087A1FA1" w14:textId="77777777" w:rsidR="009633C7" w:rsidRDefault="009633C7" w:rsidP="00147691">
            <w:pPr>
              <w:spacing w:line="360" w:lineRule="exact"/>
              <w:ind w:firstLineChars="225" w:firstLine="540"/>
              <w:jc w:val="both"/>
              <w:rPr>
                <w:rFonts w:ascii="標楷體" w:eastAsia="標楷體" w:hAnsi="標楷體"/>
                <w:bCs/>
                <w:color w:val="000000" w:themeColor="text1"/>
                <w:szCs w:val="24"/>
              </w:rPr>
            </w:pPr>
          </w:p>
          <w:p w14:paraId="501C2008" w14:textId="77777777" w:rsidR="006258EF" w:rsidRPr="00530975" w:rsidRDefault="00530975" w:rsidP="00775AE5">
            <w:pPr>
              <w:spacing w:line="360" w:lineRule="exact"/>
              <w:ind w:firstLine="480"/>
              <w:jc w:val="both"/>
              <w:rPr>
                <w:rFonts w:ascii="標楷體" w:eastAsia="標楷體" w:hAnsi="標楷體"/>
                <w:bCs/>
                <w:color w:val="000000"/>
                <w:szCs w:val="24"/>
              </w:rPr>
            </w:pPr>
            <w:r w:rsidRPr="00775AE5">
              <w:rPr>
                <w:rFonts w:ascii="標楷體" w:eastAsia="標楷體" w:hAnsi="標楷體"/>
                <w:bCs/>
                <w:szCs w:val="24"/>
              </w:rPr>
              <w:t>乙方通知事項由甲方當面簽收者，甲方之簽章應與本契約簽名樣式或原留印鑑相符，並親署日期。</w:t>
            </w:r>
          </w:p>
        </w:tc>
        <w:tc>
          <w:tcPr>
            <w:tcW w:w="3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5A3C1" w14:textId="77777777" w:rsidR="006258EF" w:rsidRDefault="00C35AC9" w:rsidP="00C35AC9">
            <w:pPr>
              <w:pStyle w:val="a7"/>
              <w:spacing w:line="360" w:lineRule="exact"/>
              <w:ind w:left="0"/>
              <w:jc w:val="both"/>
            </w:pPr>
            <w:r w:rsidRPr="007D13BA">
              <w:rPr>
                <w:rFonts w:ascii="標楷體" w:eastAsia="標楷體" w:hAnsi="標楷體" w:hint="eastAsia"/>
                <w:bCs/>
                <w:color w:val="000000" w:themeColor="text1"/>
                <w:szCs w:val="24"/>
              </w:rPr>
              <w:lastRenderedPageBreak/>
              <w:t>配合</w:t>
            </w:r>
            <w:r>
              <w:rPr>
                <w:rFonts w:ascii="標楷體" w:eastAsia="標楷體" w:hAnsi="標楷體" w:hint="eastAsia"/>
                <w:bCs/>
                <w:color w:val="000000" w:themeColor="text1"/>
                <w:szCs w:val="24"/>
              </w:rPr>
              <w:t>「</w:t>
            </w:r>
            <w:r w:rsidRPr="007D13BA">
              <w:rPr>
                <w:rFonts w:ascii="標楷體" w:eastAsia="標楷體" w:hAnsi="標楷體" w:hint="eastAsia"/>
                <w:bCs/>
                <w:color w:val="000000" w:themeColor="text1"/>
                <w:szCs w:val="24"/>
              </w:rPr>
              <w:t>證券商辦理有價證券買賣融資融券業務操作辦法</w:t>
            </w:r>
            <w:r>
              <w:rPr>
                <w:rFonts w:ascii="標楷體" w:eastAsia="標楷體" w:hAnsi="標楷體" w:hint="eastAsia"/>
                <w:bCs/>
                <w:color w:val="000000" w:themeColor="text1"/>
                <w:szCs w:val="24"/>
              </w:rPr>
              <w:t>」</w:t>
            </w:r>
            <w:r w:rsidRPr="007D13BA">
              <w:rPr>
                <w:rFonts w:ascii="標楷體" w:eastAsia="標楷體" w:hAnsi="標楷體" w:hint="eastAsia"/>
                <w:bCs/>
                <w:color w:val="000000" w:themeColor="text1"/>
                <w:szCs w:val="24"/>
              </w:rPr>
              <w:t>第</w:t>
            </w:r>
            <w:r w:rsidRPr="00C35AC9">
              <w:rPr>
                <w:rFonts w:ascii="標楷體" w:eastAsia="標楷體" w:hAnsi="標楷體" w:hint="eastAsia"/>
                <w:bCs/>
                <w:color w:val="000000" w:themeColor="text1"/>
                <w:szCs w:val="24"/>
              </w:rPr>
              <w:t>四</w:t>
            </w:r>
            <w:r w:rsidRPr="007D13BA">
              <w:rPr>
                <w:rFonts w:ascii="標楷體" w:eastAsia="標楷體" w:hAnsi="標楷體" w:hint="eastAsia"/>
                <w:bCs/>
                <w:color w:val="000000" w:themeColor="text1"/>
                <w:szCs w:val="24"/>
              </w:rPr>
              <w:t>十六條</w:t>
            </w:r>
            <w:r w:rsidRPr="00C35AC9">
              <w:rPr>
                <w:rFonts w:ascii="標楷體" w:eastAsia="標楷體" w:hAnsi="標楷體" w:hint="eastAsia"/>
                <w:bCs/>
                <w:color w:val="000000" w:themeColor="text1"/>
                <w:szCs w:val="24"/>
              </w:rPr>
              <w:t>修正</w:t>
            </w:r>
            <w:r w:rsidRPr="007D13BA">
              <w:rPr>
                <w:rFonts w:ascii="標楷體" w:eastAsia="標楷體" w:hAnsi="標楷體" w:hint="eastAsia"/>
                <w:bCs/>
                <w:color w:val="000000" w:themeColor="text1"/>
                <w:szCs w:val="24"/>
              </w:rPr>
              <w:t>，</w:t>
            </w:r>
            <w:r w:rsidRPr="00C35AC9">
              <w:rPr>
                <w:rFonts w:ascii="標楷體" w:eastAsia="標楷體" w:hAnsi="標楷體" w:hint="eastAsia"/>
                <w:bCs/>
                <w:color w:val="000000" w:themeColor="text1"/>
                <w:szCs w:val="24"/>
              </w:rPr>
              <w:t>爰</w:t>
            </w:r>
            <w:r w:rsidRPr="007D13BA">
              <w:rPr>
                <w:rFonts w:ascii="標楷體" w:eastAsia="標楷體" w:hAnsi="標楷體" w:hint="eastAsia"/>
                <w:bCs/>
                <w:color w:val="000000" w:themeColor="text1"/>
                <w:szCs w:val="24"/>
              </w:rPr>
              <w:t>修正第一項</w:t>
            </w:r>
            <w:r w:rsidRPr="00C35AC9">
              <w:rPr>
                <w:rFonts w:ascii="標楷體" w:eastAsia="標楷體" w:hAnsi="標楷體" w:hint="eastAsia"/>
                <w:bCs/>
                <w:color w:val="000000" w:themeColor="text1"/>
                <w:szCs w:val="24"/>
              </w:rPr>
              <w:t>、</w:t>
            </w:r>
            <w:r w:rsidRPr="007D13BA">
              <w:rPr>
                <w:rFonts w:ascii="標楷體" w:eastAsia="標楷體" w:hAnsi="標楷體" w:hint="eastAsia"/>
                <w:bCs/>
                <w:color w:val="000000" w:themeColor="text1"/>
                <w:szCs w:val="24"/>
              </w:rPr>
              <w:t>第二項及第</w:t>
            </w:r>
            <w:r w:rsidRPr="00C35AC9">
              <w:rPr>
                <w:rFonts w:ascii="標楷體" w:eastAsia="標楷體" w:hAnsi="標楷體" w:hint="eastAsia"/>
                <w:bCs/>
                <w:color w:val="000000" w:themeColor="text1"/>
                <w:szCs w:val="24"/>
              </w:rPr>
              <w:t>三</w:t>
            </w:r>
            <w:r w:rsidRPr="007D13BA">
              <w:rPr>
                <w:rFonts w:ascii="標楷體" w:eastAsia="標楷體" w:hAnsi="標楷體" w:hint="eastAsia"/>
                <w:bCs/>
                <w:color w:val="000000" w:themeColor="text1"/>
                <w:szCs w:val="24"/>
              </w:rPr>
              <w:t>項。</w:t>
            </w:r>
          </w:p>
        </w:tc>
      </w:tr>
    </w:tbl>
    <w:p w14:paraId="69518EF5" w14:textId="77777777" w:rsidR="00020800" w:rsidRPr="007C0AF3" w:rsidRDefault="00020800" w:rsidP="007C0AF3"/>
    <w:sectPr w:rsidR="00020800" w:rsidRPr="007C0AF3" w:rsidSect="00F4494E">
      <w:footerReference w:type="default" r:id="rId8"/>
      <w:pgSz w:w="11906" w:h="16838"/>
      <w:pgMar w:top="1134" w:right="1134" w:bottom="1134" w:left="1134" w:header="851" w:footer="992" w:gutter="0"/>
      <w:cols w:space="720"/>
      <w:docGrid w:type="lines" w:linePitch="6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BD8A6" w14:textId="77777777" w:rsidR="00134407" w:rsidRDefault="00134407">
      <w:r>
        <w:separator/>
      </w:r>
    </w:p>
  </w:endnote>
  <w:endnote w:type="continuationSeparator" w:id="0">
    <w:p w14:paraId="6BA45038" w14:textId="77777777" w:rsidR="00134407" w:rsidRDefault="00134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1507" w14:textId="77777777" w:rsidR="000E4606" w:rsidRDefault="009E3D45">
    <w:pPr>
      <w:pStyle w:val="a5"/>
      <w:jc w:val="center"/>
    </w:pPr>
    <w:r>
      <w:rPr>
        <w:lang w:val="zh-TW"/>
      </w:rPr>
      <w:fldChar w:fldCharType="begin"/>
    </w:r>
    <w:r w:rsidR="00DC08BB">
      <w:rPr>
        <w:lang w:val="zh-TW"/>
      </w:rPr>
      <w:instrText xml:space="preserve"> PAGE </w:instrText>
    </w:r>
    <w:r>
      <w:rPr>
        <w:lang w:val="zh-TW"/>
      </w:rPr>
      <w:fldChar w:fldCharType="separate"/>
    </w:r>
    <w:r w:rsidR="00A13748">
      <w:rPr>
        <w:noProof/>
        <w:lang w:val="zh-TW"/>
      </w:rPr>
      <w:t>18</w:t>
    </w:r>
    <w:r>
      <w:rPr>
        <w:lang w:val="zh-TW"/>
      </w:rPr>
      <w:fldChar w:fldCharType="end"/>
    </w:r>
  </w:p>
  <w:p w14:paraId="2B7C8DC1" w14:textId="77777777" w:rsidR="000E4606" w:rsidRDefault="000E460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DB1FB" w14:textId="77777777" w:rsidR="00134407" w:rsidRDefault="00134407">
      <w:r>
        <w:rPr>
          <w:color w:val="000000"/>
        </w:rPr>
        <w:separator/>
      </w:r>
    </w:p>
  </w:footnote>
  <w:footnote w:type="continuationSeparator" w:id="0">
    <w:p w14:paraId="2BB4CDED" w14:textId="77777777" w:rsidR="00134407" w:rsidRDefault="00134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E6A04"/>
    <w:multiLevelType w:val="multilevel"/>
    <w:tmpl w:val="D2F24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B16A50"/>
    <w:multiLevelType w:val="multilevel"/>
    <w:tmpl w:val="80164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0B594A"/>
    <w:multiLevelType w:val="hybridMultilevel"/>
    <w:tmpl w:val="87DA35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CF177BC"/>
    <w:multiLevelType w:val="multilevel"/>
    <w:tmpl w:val="60620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6730A5"/>
    <w:multiLevelType w:val="multilevel"/>
    <w:tmpl w:val="EFE26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B00D7A"/>
    <w:multiLevelType w:val="hybridMultilevel"/>
    <w:tmpl w:val="43DA4E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118640877">
    <w:abstractNumId w:val="4"/>
  </w:num>
  <w:num w:numId="2" w16cid:durableId="1663467013">
    <w:abstractNumId w:val="3"/>
  </w:num>
  <w:num w:numId="3" w16cid:durableId="1891646306">
    <w:abstractNumId w:val="0"/>
  </w:num>
  <w:num w:numId="4" w16cid:durableId="857505012">
    <w:abstractNumId w:val="1"/>
  </w:num>
  <w:num w:numId="5" w16cid:durableId="1713116280">
    <w:abstractNumId w:val="2"/>
  </w:num>
  <w:num w:numId="6" w16cid:durableId="10634792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800"/>
    <w:rsid w:val="000019CA"/>
    <w:rsid w:val="00002B9E"/>
    <w:rsid w:val="00002EC4"/>
    <w:rsid w:val="00004D1B"/>
    <w:rsid w:val="00016F67"/>
    <w:rsid w:val="00020800"/>
    <w:rsid w:val="000334DA"/>
    <w:rsid w:val="000375F2"/>
    <w:rsid w:val="00045F0C"/>
    <w:rsid w:val="000515F3"/>
    <w:rsid w:val="000546E5"/>
    <w:rsid w:val="00061D99"/>
    <w:rsid w:val="00064B49"/>
    <w:rsid w:val="00065A2C"/>
    <w:rsid w:val="00066DCD"/>
    <w:rsid w:val="00066FB9"/>
    <w:rsid w:val="00067369"/>
    <w:rsid w:val="000674A5"/>
    <w:rsid w:val="00071742"/>
    <w:rsid w:val="00080086"/>
    <w:rsid w:val="00081521"/>
    <w:rsid w:val="000879C8"/>
    <w:rsid w:val="00096660"/>
    <w:rsid w:val="00097BB3"/>
    <w:rsid w:val="000B0EF5"/>
    <w:rsid w:val="000B1292"/>
    <w:rsid w:val="000B198A"/>
    <w:rsid w:val="000B1A19"/>
    <w:rsid w:val="000B53FA"/>
    <w:rsid w:val="000C4144"/>
    <w:rsid w:val="000C4989"/>
    <w:rsid w:val="000C71B8"/>
    <w:rsid w:val="000C7590"/>
    <w:rsid w:val="000D002B"/>
    <w:rsid w:val="000D0D07"/>
    <w:rsid w:val="000D0D59"/>
    <w:rsid w:val="000D7808"/>
    <w:rsid w:val="000E4599"/>
    <w:rsid w:val="000E4606"/>
    <w:rsid w:val="000E51B8"/>
    <w:rsid w:val="00107A2E"/>
    <w:rsid w:val="00110508"/>
    <w:rsid w:val="00114A8C"/>
    <w:rsid w:val="00117317"/>
    <w:rsid w:val="00123863"/>
    <w:rsid w:val="00124C3A"/>
    <w:rsid w:val="0013048D"/>
    <w:rsid w:val="00134407"/>
    <w:rsid w:val="00135998"/>
    <w:rsid w:val="00147691"/>
    <w:rsid w:val="00154271"/>
    <w:rsid w:val="001572AA"/>
    <w:rsid w:val="00161BF4"/>
    <w:rsid w:val="001643FB"/>
    <w:rsid w:val="00165091"/>
    <w:rsid w:val="00165176"/>
    <w:rsid w:val="001651AC"/>
    <w:rsid w:val="00174AA5"/>
    <w:rsid w:val="00175D4E"/>
    <w:rsid w:val="0018695E"/>
    <w:rsid w:val="00194709"/>
    <w:rsid w:val="001A3B37"/>
    <w:rsid w:val="001A4138"/>
    <w:rsid w:val="001A4F79"/>
    <w:rsid w:val="001B3885"/>
    <w:rsid w:val="001B44CC"/>
    <w:rsid w:val="001C3D3C"/>
    <w:rsid w:val="001D3CC4"/>
    <w:rsid w:val="001D617F"/>
    <w:rsid w:val="001E31F3"/>
    <w:rsid w:val="001F4355"/>
    <w:rsid w:val="001F7D72"/>
    <w:rsid w:val="00201135"/>
    <w:rsid w:val="0020391F"/>
    <w:rsid w:val="00204BA4"/>
    <w:rsid w:val="0021251A"/>
    <w:rsid w:val="002151B0"/>
    <w:rsid w:val="00224010"/>
    <w:rsid w:val="00225C54"/>
    <w:rsid w:val="00230CB3"/>
    <w:rsid w:val="00235B90"/>
    <w:rsid w:val="00244095"/>
    <w:rsid w:val="002660C1"/>
    <w:rsid w:val="002679D9"/>
    <w:rsid w:val="00270D32"/>
    <w:rsid w:val="00276EC4"/>
    <w:rsid w:val="00281B96"/>
    <w:rsid w:val="002843FF"/>
    <w:rsid w:val="00285522"/>
    <w:rsid w:val="00293232"/>
    <w:rsid w:val="00293460"/>
    <w:rsid w:val="00297634"/>
    <w:rsid w:val="002A173B"/>
    <w:rsid w:val="002A20E0"/>
    <w:rsid w:val="002A231D"/>
    <w:rsid w:val="002A590A"/>
    <w:rsid w:val="002B1812"/>
    <w:rsid w:val="002B7DD9"/>
    <w:rsid w:val="002C64AC"/>
    <w:rsid w:val="002D0A2D"/>
    <w:rsid w:val="002D2246"/>
    <w:rsid w:val="002E1449"/>
    <w:rsid w:val="002E5C1A"/>
    <w:rsid w:val="002F5692"/>
    <w:rsid w:val="00311177"/>
    <w:rsid w:val="00314940"/>
    <w:rsid w:val="00316AAF"/>
    <w:rsid w:val="00330DDF"/>
    <w:rsid w:val="0033163B"/>
    <w:rsid w:val="003331F1"/>
    <w:rsid w:val="00351940"/>
    <w:rsid w:val="003706F9"/>
    <w:rsid w:val="00371CD2"/>
    <w:rsid w:val="00381ED7"/>
    <w:rsid w:val="0038471F"/>
    <w:rsid w:val="0038613D"/>
    <w:rsid w:val="003927A8"/>
    <w:rsid w:val="003934EA"/>
    <w:rsid w:val="003945C4"/>
    <w:rsid w:val="0039481C"/>
    <w:rsid w:val="00396A5F"/>
    <w:rsid w:val="003A1DED"/>
    <w:rsid w:val="003B7AB3"/>
    <w:rsid w:val="003D24D5"/>
    <w:rsid w:val="003D7F6A"/>
    <w:rsid w:val="003E4D0C"/>
    <w:rsid w:val="003E5473"/>
    <w:rsid w:val="003F0AE1"/>
    <w:rsid w:val="003F39D0"/>
    <w:rsid w:val="003F4B5C"/>
    <w:rsid w:val="004067E6"/>
    <w:rsid w:val="0041218D"/>
    <w:rsid w:val="00422EE2"/>
    <w:rsid w:val="0043101C"/>
    <w:rsid w:val="004365C9"/>
    <w:rsid w:val="00446EB7"/>
    <w:rsid w:val="004523ED"/>
    <w:rsid w:val="00457D6D"/>
    <w:rsid w:val="00462564"/>
    <w:rsid w:val="004734C9"/>
    <w:rsid w:val="00473553"/>
    <w:rsid w:val="004830A1"/>
    <w:rsid w:val="00490C95"/>
    <w:rsid w:val="00497073"/>
    <w:rsid w:val="004A0373"/>
    <w:rsid w:val="004B34D9"/>
    <w:rsid w:val="004C3510"/>
    <w:rsid w:val="004C4045"/>
    <w:rsid w:val="004D4C17"/>
    <w:rsid w:val="004D5A3E"/>
    <w:rsid w:val="004E5CB6"/>
    <w:rsid w:val="004E7B69"/>
    <w:rsid w:val="00501C02"/>
    <w:rsid w:val="00502BD1"/>
    <w:rsid w:val="00505F27"/>
    <w:rsid w:val="0051599B"/>
    <w:rsid w:val="00530975"/>
    <w:rsid w:val="00532328"/>
    <w:rsid w:val="00532509"/>
    <w:rsid w:val="00534A4A"/>
    <w:rsid w:val="00537A1C"/>
    <w:rsid w:val="00543E4F"/>
    <w:rsid w:val="005466A8"/>
    <w:rsid w:val="00547D14"/>
    <w:rsid w:val="0055053D"/>
    <w:rsid w:val="00552A15"/>
    <w:rsid w:val="005716CB"/>
    <w:rsid w:val="00575B07"/>
    <w:rsid w:val="00577343"/>
    <w:rsid w:val="00590232"/>
    <w:rsid w:val="005B1D3B"/>
    <w:rsid w:val="005B3690"/>
    <w:rsid w:val="005C1681"/>
    <w:rsid w:val="005C6430"/>
    <w:rsid w:val="005D0983"/>
    <w:rsid w:val="005D5F94"/>
    <w:rsid w:val="005E404D"/>
    <w:rsid w:val="005E67BE"/>
    <w:rsid w:val="005F3200"/>
    <w:rsid w:val="005F7A12"/>
    <w:rsid w:val="00601074"/>
    <w:rsid w:val="00614FAD"/>
    <w:rsid w:val="006258EF"/>
    <w:rsid w:val="00627A90"/>
    <w:rsid w:val="006323B3"/>
    <w:rsid w:val="00646DF5"/>
    <w:rsid w:val="00654560"/>
    <w:rsid w:val="00673C5A"/>
    <w:rsid w:val="006779C0"/>
    <w:rsid w:val="00677B2E"/>
    <w:rsid w:val="00681F4A"/>
    <w:rsid w:val="006858A8"/>
    <w:rsid w:val="006A4F56"/>
    <w:rsid w:val="006B0CDA"/>
    <w:rsid w:val="006B631E"/>
    <w:rsid w:val="006C0331"/>
    <w:rsid w:val="006C2B28"/>
    <w:rsid w:val="006C5B31"/>
    <w:rsid w:val="006D7662"/>
    <w:rsid w:val="006E4984"/>
    <w:rsid w:val="006F163D"/>
    <w:rsid w:val="006F2FE4"/>
    <w:rsid w:val="006F40CA"/>
    <w:rsid w:val="006F5C22"/>
    <w:rsid w:val="006F71C0"/>
    <w:rsid w:val="007057B3"/>
    <w:rsid w:val="00732CF1"/>
    <w:rsid w:val="007470F4"/>
    <w:rsid w:val="007556E1"/>
    <w:rsid w:val="007656BE"/>
    <w:rsid w:val="00774AED"/>
    <w:rsid w:val="00775AE5"/>
    <w:rsid w:val="0078108B"/>
    <w:rsid w:val="00781FE0"/>
    <w:rsid w:val="00790B7F"/>
    <w:rsid w:val="00790EE3"/>
    <w:rsid w:val="007A2AF6"/>
    <w:rsid w:val="007A5070"/>
    <w:rsid w:val="007B111D"/>
    <w:rsid w:val="007B4C49"/>
    <w:rsid w:val="007B6EAB"/>
    <w:rsid w:val="007C0AF3"/>
    <w:rsid w:val="007D1992"/>
    <w:rsid w:val="007D2AC2"/>
    <w:rsid w:val="007D3A7C"/>
    <w:rsid w:val="007D61FF"/>
    <w:rsid w:val="007E1D69"/>
    <w:rsid w:val="007E22D1"/>
    <w:rsid w:val="007E4A65"/>
    <w:rsid w:val="007F2476"/>
    <w:rsid w:val="007F2739"/>
    <w:rsid w:val="00803132"/>
    <w:rsid w:val="008275FA"/>
    <w:rsid w:val="00837DBD"/>
    <w:rsid w:val="00840F84"/>
    <w:rsid w:val="0085370B"/>
    <w:rsid w:val="00860306"/>
    <w:rsid w:val="008750C0"/>
    <w:rsid w:val="00875B2D"/>
    <w:rsid w:val="00881B44"/>
    <w:rsid w:val="0088386D"/>
    <w:rsid w:val="00891B43"/>
    <w:rsid w:val="008B26CA"/>
    <w:rsid w:val="008B6D1C"/>
    <w:rsid w:val="008B7532"/>
    <w:rsid w:val="008C02AC"/>
    <w:rsid w:val="008C0847"/>
    <w:rsid w:val="008C1C15"/>
    <w:rsid w:val="008D655D"/>
    <w:rsid w:val="008E20B9"/>
    <w:rsid w:val="008F760A"/>
    <w:rsid w:val="00905E81"/>
    <w:rsid w:val="00910FC9"/>
    <w:rsid w:val="0091564D"/>
    <w:rsid w:val="00915D1D"/>
    <w:rsid w:val="009163F7"/>
    <w:rsid w:val="009213B7"/>
    <w:rsid w:val="00922FF8"/>
    <w:rsid w:val="009355A2"/>
    <w:rsid w:val="009372F3"/>
    <w:rsid w:val="00940BFD"/>
    <w:rsid w:val="00950F6F"/>
    <w:rsid w:val="009541B9"/>
    <w:rsid w:val="009544ED"/>
    <w:rsid w:val="00962D5F"/>
    <w:rsid w:val="009633C7"/>
    <w:rsid w:val="00971641"/>
    <w:rsid w:val="00971C47"/>
    <w:rsid w:val="00973483"/>
    <w:rsid w:val="009738D3"/>
    <w:rsid w:val="00974ACB"/>
    <w:rsid w:val="00993E53"/>
    <w:rsid w:val="00995B0A"/>
    <w:rsid w:val="009A1EF2"/>
    <w:rsid w:val="009A2B3D"/>
    <w:rsid w:val="009B0D24"/>
    <w:rsid w:val="009B41F0"/>
    <w:rsid w:val="009C458E"/>
    <w:rsid w:val="009D0344"/>
    <w:rsid w:val="009D194D"/>
    <w:rsid w:val="009D1AA8"/>
    <w:rsid w:val="009D3DDD"/>
    <w:rsid w:val="009D757A"/>
    <w:rsid w:val="009E3D45"/>
    <w:rsid w:val="009E72B3"/>
    <w:rsid w:val="009F12E2"/>
    <w:rsid w:val="009F3AE9"/>
    <w:rsid w:val="009F73CB"/>
    <w:rsid w:val="00A014A2"/>
    <w:rsid w:val="00A13748"/>
    <w:rsid w:val="00A2225A"/>
    <w:rsid w:val="00A3085A"/>
    <w:rsid w:val="00A437E1"/>
    <w:rsid w:val="00A44769"/>
    <w:rsid w:val="00A52C7F"/>
    <w:rsid w:val="00A565AB"/>
    <w:rsid w:val="00A5781D"/>
    <w:rsid w:val="00A57D57"/>
    <w:rsid w:val="00A62993"/>
    <w:rsid w:val="00A75C4A"/>
    <w:rsid w:val="00A76AAC"/>
    <w:rsid w:val="00A86345"/>
    <w:rsid w:val="00AA2763"/>
    <w:rsid w:val="00AA6DF9"/>
    <w:rsid w:val="00AB001A"/>
    <w:rsid w:val="00AC6834"/>
    <w:rsid w:val="00AD0F86"/>
    <w:rsid w:val="00AD6CD0"/>
    <w:rsid w:val="00AE4FDD"/>
    <w:rsid w:val="00AF2E08"/>
    <w:rsid w:val="00AF3616"/>
    <w:rsid w:val="00AF7A4F"/>
    <w:rsid w:val="00B00FE5"/>
    <w:rsid w:val="00B034CD"/>
    <w:rsid w:val="00B13C03"/>
    <w:rsid w:val="00B159B7"/>
    <w:rsid w:val="00B21BEC"/>
    <w:rsid w:val="00B364FD"/>
    <w:rsid w:val="00B47B9B"/>
    <w:rsid w:val="00B50D3C"/>
    <w:rsid w:val="00B51239"/>
    <w:rsid w:val="00B518CF"/>
    <w:rsid w:val="00B6403F"/>
    <w:rsid w:val="00B64278"/>
    <w:rsid w:val="00B6468F"/>
    <w:rsid w:val="00B70A04"/>
    <w:rsid w:val="00B806E8"/>
    <w:rsid w:val="00B83CF2"/>
    <w:rsid w:val="00BA2BD2"/>
    <w:rsid w:val="00BB3605"/>
    <w:rsid w:val="00BC238C"/>
    <w:rsid w:val="00BD3004"/>
    <w:rsid w:val="00BF7DD2"/>
    <w:rsid w:val="00C00554"/>
    <w:rsid w:val="00C01286"/>
    <w:rsid w:val="00C13951"/>
    <w:rsid w:val="00C202CC"/>
    <w:rsid w:val="00C2306E"/>
    <w:rsid w:val="00C26CF6"/>
    <w:rsid w:val="00C35AC9"/>
    <w:rsid w:val="00C430AF"/>
    <w:rsid w:val="00C53B28"/>
    <w:rsid w:val="00C570BE"/>
    <w:rsid w:val="00C6741B"/>
    <w:rsid w:val="00C7167C"/>
    <w:rsid w:val="00C7240A"/>
    <w:rsid w:val="00C803C4"/>
    <w:rsid w:val="00C84727"/>
    <w:rsid w:val="00CA6F0F"/>
    <w:rsid w:val="00CB05CD"/>
    <w:rsid w:val="00CD39EB"/>
    <w:rsid w:val="00CD78F7"/>
    <w:rsid w:val="00CE76EA"/>
    <w:rsid w:val="00CF5914"/>
    <w:rsid w:val="00D0184B"/>
    <w:rsid w:val="00D06FB5"/>
    <w:rsid w:val="00D071E2"/>
    <w:rsid w:val="00D07AC5"/>
    <w:rsid w:val="00D17CA3"/>
    <w:rsid w:val="00D2578C"/>
    <w:rsid w:val="00D42EF7"/>
    <w:rsid w:val="00D533B8"/>
    <w:rsid w:val="00D653EF"/>
    <w:rsid w:val="00D90745"/>
    <w:rsid w:val="00D9302C"/>
    <w:rsid w:val="00D96099"/>
    <w:rsid w:val="00DA0DE9"/>
    <w:rsid w:val="00DA25FA"/>
    <w:rsid w:val="00DB5B2F"/>
    <w:rsid w:val="00DB5CAD"/>
    <w:rsid w:val="00DC08BB"/>
    <w:rsid w:val="00DC3A75"/>
    <w:rsid w:val="00DC3F4D"/>
    <w:rsid w:val="00DD1AF8"/>
    <w:rsid w:val="00DD5C88"/>
    <w:rsid w:val="00DE6339"/>
    <w:rsid w:val="00DF20BF"/>
    <w:rsid w:val="00DF2E75"/>
    <w:rsid w:val="00DF50FE"/>
    <w:rsid w:val="00E01BBD"/>
    <w:rsid w:val="00E05F0A"/>
    <w:rsid w:val="00E061D5"/>
    <w:rsid w:val="00E13D7F"/>
    <w:rsid w:val="00E14E35"/>
    <w:rsid w:val="00E15ECA"/>
    <w:rsid w:val="00E16D84"/>
    <w:rsid w:val="00E2226F"/>
    <w:rsid w:val="00E37ACB"/>
    <w:rsid w:val="00E40B1C"/>
    <w:rsid w:val="00E55660"/>
    <w:rsid w:val="00E640C7"/>
    <w:rsid w:val="00E67BAB"/>
    <w:rsid w:val="00E727D8"/>
    <w:rsid w:val="00E8257B"/>
    <w:rsid w:val="00E82857"/>
    <w:rsid w:val="00E83168"/>
    <w:rsid w:val="00E83323"/>
    <w:rsid w:val="00E83335"/>
    <w:rsid w:val="00E839FB"/>
    <w:rsid w:val="00E8400C"/>
    <w:rsid w:val="00E84026"/>
    <w:rsid w:val="00E907B7"/>
    <w:rsid w:val="00E972F5"/>
    <w:rsid w:val="00EA159B"/>
    <w:rsid w:val="00EA3150"/>
    <w:rsid w:val="00EA5091"/>
    <w:rsid w:val="00EA781C"/>
    <w:rsid w:val="00EC30A0"/>
    <w:rsid w:val="00ED08A7"/>
    <w:rsid w:val="00ED08D0"/>
    <w:rsid w:val="00ED2CAB"/>
    <w:rsid w:val="00EE0AA5"/>
    <w:rsid w:val="00EF00E9"/>
    <w:rsid w:val="00EF247D"/>
    <w:rsid w:val="00EF79F0"/>
    <w:rsid w:val="00F10540"/>
    <w:rsid w:val="00F13E7B"/>
    <w:rsid w:val="00F16A7F"/>
    <w:rsid w:val="00F26003"/>
    <w:rsid w:val="00F4053C"/>
    <w:rsid w:val="00F42D9A"/>
    <w:rsid w:val="00F4494E"/>
    <w:rsid w:val="00F502FB"/>
    <w:rsid w:val="00F53D9A"/>
    <w:rsid w:val="00F56D65"/>
    <w:rsid w:val="00F6107F"/>
    <w:rsid w:val="00F622A6"/>
    <w:rsid w:val="00F71D98"/>
    <w:rsid w:val="00F74CDD"/>
    <w:rsid w:val="00F77987"/>
    <w:rsid w:val="00F77B13"/>
    <w:rsid w:val="00F80620"/>
    <w:rsid w:val="00F80BB5"/>
    <w:rsid w:val="00F90D8C"/>
    <w:rsid w:val="00F96E9B"/>
    <w:rsid w:val="00FA1903"/>
    <w:rsid w:val="00FA4300"/>
    <w:rsid w:val="00FB4A9E"/>
    <w:rsid w:val="00FC1E99"/>
    <w:rsid w:val="00FC4FE9"/>
    <w:rsid w:val="00FE437E"/>
    <w:rsid w:val="00FF023F"/>
    <w:rsid w:val="00FF0504"/>
    <w:rsid w:val="00FF62E9"/>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EC625"/>
  <w15:docId w15:val="{D3F45203-C2C8-4BD1-ABF3-7972BD9E1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4494E"/>
    <w:pPr>
      <w:widowControl w:val="0"/>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4494E"/>
    <w:pPr>
      <w:tabs>
        <w:tab w:val="center" w:pos="4153"/>
        <w:tab w:val="right" w:pos="8306"/>
      </w:tabs>
      <w:snapToGrid w:val="0"/>
    </w:pPr>
    <w:rPr>
      <w:sz w:val="20"/>
      <w:szCs w:val="20"/>
    </w:rPr>
  </w:style>
  <w:style w:type="character" w:customStyle="1" w:styleId="a4">
    <w:name w:val="頁首 字元"/>
    <w:basedOn w:val="a0"/>
    <w:rsid w:val="00F4494E"/>
    <w:rPr>
      <w:sz w:val="20"/>
      <w:szCs w:val="20"/>
    </w:rPr>
  </w:style>
  <w:style w:type="paragraph" w:styleId="a5">
    <w:name w:val="footer"/>
    <w:basedOn w:val="a"/>
    <w:rsid w:val="00F4494E"/>
    <w:pPr>
      <w:tabs>
        <w:tab w:val="center" w:pos="4153"/>
        <w:tab w:val="right" w:pos="8306"/>
      </w:tabs>
      <w:snapToGrid w:val="0"/>
    </w:pPr>
    <w:rPr>
      <w:sz w:val="20"/>
      <w:szCs w:val="20"/>
    </w:rPr>
  </w:style>
  <w:style w:type="character" w:customStyle="1" w:styleId="a6">
    <w:name w:val="頁尾 字元"/>
    <w:basedOn w:val="a0"/>
    <w:rsid w:val="00F4494E"/>
    <w:rPr>
      <w:sz w:val="20"/>
      <w:szCs w:val="20"/>
    </w:rPr>
  </w:style>
  <w:style w:type="paragraph" w:styleId="HTML">
    <w:name w:val="HTML Preformatted"/>
    <w:basedOn w:val="a"/>
    <w:uiPriority w:val="99"/>
    <w:rsid w:val="00F449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uto"/>
    </w:pPr>
    <w:rPr>
      <w:rFonts w:ascii="細明體" w:eastAsia="細明體" w:hAnsi="細明體" w:cs="細明體"/>
      <w:kern w:val="0"/>
      <w:sz w:val="22"/>
    </w:rPr>
  </w:style>
  <w:style w:type="character" w:customStyle="1" w:styleId="HTML0">
    <w:name w:val="HTML 預設格式 字元"/>
    <w:basedOn w:val="a0"/>
    <w:uiPriority w:val="99"/>
    <w:rsid w:val="00F4494E"/>
    <w:rPr>
      <w:rFonts w:ascii="細明體" w:eastAsia="細明體" w:hAnsi="細明體" w:cs="細明體"/>
      <w:kern w:val="0"/>
      <w:sz w:val="22"/>
    </w:rPr>
  </w:style>
  <w:style w:type="paragraph" w:styleId="a7">
    <w:name w:val="List Paragraph"/>
    <w:basedOn w:val="a"/>
    <w:rsid w:val="00F4494E"/>
    <w:pPr>
      <w:suppressAutoHyphens w:val="0"/>
      <w:ind w:left="480"/>
      <w:textAlignment w:val="auto"/>
    </w:pPr>
  </w:style>
  <w:style w:type="paragraph" w:styleId="a8">
    <w:name w:val="annotation text"/>
    <w:basedOn w:val="a"/>
    <w:link w:val="1"/>
    <w:rsid w:val="00F4494E"/>
    <w:pPr>
      <w:suppressAutoHyphens w:val="0"/>
      <w:textAlignment w:val="auto"/>
    </w:pPr>
  </w:style>
  <w:style w:type="character" w:customStyle="1" w:styleId="a9">
    <w:name w:val="註解文字 字元"/>
    <w:basedOn w:val="a0"/>
    <w:rsid w:val="00F4494E"/>
    <w:rPr>
      <w:rFonts w:ascii="Calibri" w:eastAsia="新細明體" w:hAnsi="Calibri" w:cs="Times New Roman"/>
      <w:kern w:val="3"/>
    </w:rPr>
  </w:style>
  <w:style w:type="paragraph" w:styleId="aa">
    <w:name w:val="Revision"/>
    <w:rsid w:val="00F4494E"/>
    <w:pPr>
      <w:textAlignment w:val="auto"/>
    </w:pPr>
  </w:style>
  <w:style w:type="character" w:styleId="ab">
    <w:name w:val="annotation reference"/>
    <w:basedOn w:val="a0"/>
    <w:rsid w:val="00F4494E"/>
    <w:rPr>
      <w:sz w:val="18"/>
      <w:szCs w:val="18"/>
    </w:rPr>
  </w:style>
  <w:style w:type="paragraph" w:customStyle="1" w:styleId="ac">
    <w:name w:val="說明"/>
    <w:basedOn w:val="a"/>
    <w:rsid w:val="00F4494E"/>
    <w:pPr>
      <w:widowControl/>
      <w:suppressAutoHyphens w:val="0"/>
      <w:spacing w:line="460" w:lineRule="atLeast"/>
      <w:ind w:left="57" w:right="57"/>
      <w:jc w:val="both"/>
      <w:textAlignment w:val="auto"/>
    </w:pPr>
    <w:rPr>
      <w:rFonts w:ascii="Times New Roman" w:eastAsia="標楷體" w:hAnsi="Times New Roman"/>
      <w:kern w:val="0"/>
      <w:szCs w:val="20"/>
    </w:rPr>
  </w:style>
  <w:style w:type="character" w:styleId="ad">
    <w:name w:val="Strong"/>
    <w:basedOn w:val="a0"/>
    <w:uiPriority w:val="22"/>
    <w:qFormat/>
    <w:rsid w:val="001D617F"/>
    <w:rPr>
      <w:b/>
      <w:bCs/>
    </w:rPr>
  </w:style>
  <w:style w:type="paragraph" w:styleId="ae">
    <w:name w:val="Balloon Text"/>
    <w:basedOn w:val="a"/>
    <w:link w:val="af"/>
    <w:uiPriority w:val="99"/>
    <w:semiHidden/>
    <w:unhideWhenUsed/>
    <w:rsid w:val="00EA5091"/>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EA5091"/>
    <w:rPr>
      <w:rFonts w:asciiTheme="majorHAnsi" w:eastAsiaTheme="majorEastAsia" w:hAnsiTheme="majorHAnsi" w:cstheme="majorBidi"/>
      <w:sz w:val="18"/>
      <w:szCs w:val="18"/>
    </w:rPr>
  </w:style>
  <w:style w:type="paragraph" w:styleId="af0">
    <w:name w:val="annotation subject"/>
    <w:basedOn w:val="a8"/>
    <w:next w:val="a8"/>
    <w:link w:val="af1"/>
    <w:uiPriority w:val="99"/>
    <w:semiHidden/>
    <w:unhideWhenUsed/>
    <w:rsid w:val="00F96E9B"/>
    <w:pPr>
      <w:suppressAutoHyphens/>
      <w:textAlignment w:val="baseline"/>
    </w:pPr>
    <w:rPr>
      <w:b/>
      <w:bCs/>
    </w:rPr>
  </w:style>
  <w:style w:type="character" w:customStyle="1" w:styleId="1">
    <w:name w:val="註解文字 字元1"/>
    <w:basedOn w:val="a0"/>
    <w:link w:val="a8"/>
    <w:rsid w:val="00F96E9B"/>
  </w:style>
  <w:style w:type="character" w:customStyle="1" w:styleId="af1">
    <w:name w:val="註解主旨 字元"/>
    <w:basedOn w:val="1"/>
    <w:link w:val="af0"/>
    <w:uiPriority w:val="99"/>
    <w:semiHidden/>
    <w:rsid w:val="00F96E9B"/>
    <w:rPr>
      <w:b/>
      <w:bCs/>
    </w:rPr>
  </w:style>
  <w:style w:type="paragraph" w:customStyle="1" w:styleId="Default">
    <w:name w:val="Default"/>
    <w:rsid w:val="00D653EF"/>
    <w:pPr>
      <w:widowControl w:val="0"/>
      <w:autoSpaceDE w:val="0"/>
      <w:adjustRightInd w:val="0"/>
      <w:textAlignment w:val="auto"/>
    </w:pPr>
    <w:rPr>
      <w:rFonts w:ascii="標楷體" w:eastAsia="標楷體" w:hAnsiTheme="minorHAnsi" w:cs="標楷體"/>
      <w:color w:val="000000"/>
      <w:kern w:val="0"/>
      <w:szCs w:val="24"/>
    </w:rPr>
  </w:style>
  <w:style w:type="character" w:styleId="af2">
    <w:name w:val="Placeholder Text"/>
    <w:basedOn w:val="a0"/>
    <w:uiPriority w:val="99"/>
    <w:semiHidden/>
    <w:rsid w:val="00881B4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76979">
      <w:bodyDiv w:val="1"/>
      <w:marLeft w:val="0"/>
      <w:marRight w:val="0"/>
      <w:marTop w:val="0"/>
      <w:marBottom w:val="0"/>
      <w:divBdr>
        <w:top w:val="none" w:sz="0" w:space="0" w:color="auto"/>
        <w:left w:val="none" w:sz="0" w:space="0" w:color="auto"/>
        <w:bottom w:val="none" w:sz="0" w:space="0" w:color="auto"/>
        <w:right w:val="none" w:sz="0" w:space="0" w:color="auto"/>
      </w:divBdr>
    </w:div>
    <w:div w:id="255022523">
      <w:bodyDiv w:val="1"/>
      <w:marLeft w:val="0"/>
      <w:marRight w:val="0"/>
      <w:marTop w:val="0"/>
      <w:marBottom w:val="0"/>
      <w:divBdr>
        <w:top w:val="none" w:sz="0" w:space="0" w:color="auto"/>
        <w:left w:val="none" w:sz="0" w:space="0" w:color="auto"/>
        <w:bottom w:val="none" w:sz="0" w:space="0" w:color="auto"/>
        <w:right w:val="none" w:sz="0" w:space="0" w:color="auto"/>
      </w:divBdr>
      <w:divsChild>
        <w:div w:id="761339563">
          <w:marLeft w:val="0"/>
          <w:marRight w:val="0"/>
          <w:marTop w:val="0"/>
          <w:marBottom w:val="0"/>
          <w:divBdr>
            <w:top w:val="none" w:sz="0" w:space="0" w:color="auto"/>
            <w:left w:val="none" w:sz="0" w:space="0" w:color="auto"/>
            <w:bottom w:val="none" w:sz="0" w:space="0" w:color="auto"/>
            <w:right w:val="none" w:sz="0" w:space="0" w:color="auto"/>
          </w:divBdr>
        </w:div>
      </w:divsChild>
    </w:div>
    <w:div w:id="626082130">
      <w:bodyDiv w:val="1"/>
      <w:marLeft w:val="0"/>
      <w:marRight w:val="0"/>
      <w:marTop w:val="0"/>
      <w:marBottom w:val="0"/>
      <w:divBdr>
        <w:top w:val="none" w:sz="0" w:space="0" w:color="auto"/>
        <w:left w:val="none" w:sz="0" w:space="0" w:color="auto"/>
        <w:bottom w:val="none" w:sz="0" w:space="0" w:color="auto"/>
        <w:right w:val="none" w:sz="0" w:space="0" w:color="auto"/>
      </w:divBdr>
      <w:divsChild>
        <w:div w:id="1324550476">
          <w:marLeft w:val="0"/>
          <w:marRight w:val="0"/>
          <w:marTop w:val="0"/>
          <w:marBottom w:val="0"/>
          <w:divBdr>
            <w:top w:val="none" w:sz="0" w:space="0" w:color="auto"/>
            <w:left w:val="none" w:sz="0" w:space="0" w:color="auto"/>
            <w:bottom w:val="none" w:sz="0" w:space="0" w:color="auto"/>
            <w:right w:val="none" w:sz="0" w:space="0" w:color="auto"/>
          </w:divBdr>
        </w:div>
      </w:divsChild>
    </w:div>
    <w:div w:id="721028134">
      <w:bodyDiv w:val="1"/>
      <w:marLeft w:val="0"/>
      <w:marRight w:val="0"/>
      <w:marTop w:val="0"/>
      <w:marBottom w:val="0"/>
      <w:divBdr>
        <w:top w:val="none" w:sz="0" w:space="0" w:color="auto"/>
        <w:left w:val="none" w:sz="0" w:space="0" w:color="auto"/>
        <w:bottom w:val="none" w:sz="0" w:space="0" w:color="auto"/>
        <w:right w:val="none" w:sz="0" w:space="0" w:color="auto"/>
      </w:divBdr>
      <w:divsChild>
        <w:div w:id="164171027">
          <w:marLeft w:val="0"/>
          <w:marRight w:val="0"/>
          <w:marTop w:val="0"/>
          <w:marBottom w:val="0"/>
          <w:divBdr>
            <w:top w:val="none" w:sz="0" w:space="0" w:color="auto"/>
            <w:left w:val="none" w:sz="0" w:space="0" w:color="auto"/>
            <w:bottom w:val="none" w:sz="0" w:space="0" w:color="auto"/>
            <w:right w:val="none" w:sz="0" w:space="0" w:color="auto"/>
          </w:divBdr>
        </w:div>
      </w:divsChild>
    </w:div>
    <w:div w:id="778526514">
      <w:bodyDiv w:val="1"/>
      <w:marLeft w:val="0"/>
      <w:marRight w:val="0"/>
      <w:marTop w:val="0"/>
      <w:marBottom w:val="0"/>
      <w:divBdr>
        <w:top w:val="none" w:sz="0" w:space="0" w:color="auto"/>
        <w:left w:val="none" w:sz="0" w:space="0" w:color="auto"/>
        <w:bottom w:val="none" w:sz="0" w:space="0" w:color="auto"/>
        <w:right w:val="none" w:sz="0" w:space="0" w:color="auto"/>
      </w:divBdr>
      <w:divsChild>
        <w:div w:id="1598370764">
          <w:marLeft w:val="0"/>
          <w:marRight w:val="0"/>
          <w:marTop w:val="0"/>
          <w:marBottom w:val="0"/>
          <w:divBdr>
            <w:top w:val="none" w:sz="0" w:space="0" w:color="auto"/>
            <w:left w:val="none" w:sz="0" w:space="0" w:color="auto"/>
            <w:bottom w:val="none" w:sz="0" w:space="0" w:color="auto"/>
            <w:right w:val="none" w:sz="0" w:space="0" w:color="auto"/>
          </w:divBdr>
        </w:div>
      </w:divsChild>
    </w:div>
    <w:div w:id="790783256">
      <w:bodyDiv w:val="1"/>
      <w:marLeft w:val="0"/>
      <w:marRight w:val="0"/>
      <w:marTop w:val="0"/>
      <w:marBottom w:val="0"/>
      <w:divBdr>
        <w:top w:val="none" w:sz="0" w:space="0" w:color="auto"/>
        <w:left w:val="none" w:sz="0" w:space="0" w:color="auto"/>
        <w:bottom w:val="none" w:sz="0" w:space="0" w:color="auto"/>
        <w:right w:val="none" w:sz="0" w:space="0" w:color="auto"/>
      </w:divBdr>
      <w:divsChild>
        <w:div w:id="1711341656">
          <w:marLeft w:val="0"/>
          <w:marRight w:val="0"/>
          <w:marTop w:val="0"/>
          <w:marBottom w:val="0"/>
          <w:divBdr>
            <w:top w:val="none" w:sz="0" w:space="0" w:color="auto"/>
            <w:left w:val="none" w:sz="0" w:space="0" w:color="auto"/>
            <w:bottom w:val="none" w:sz="0" w:space="0" w:color="auto"/>
            <w:right w:val="none" w:sz="0" w:space="0" w:color="auto"/>
          </w:divBdr>
        </w:div>
      </w:divsChild>
    </w:div>
    <w:div w:id="1621298261">
      <w:bodyDiv w:val="1"/>
      <w:marLeft w:val="0"/>
      <w:marRight w:val="0"/>
      <w:marTop w:val="0"/>
      <w:marBottom w:val="0"/>
      <w:divBdr>
        <w:top w:val="none" w:sz="0" w:space="0" w:color="auto"/>
        <w:left w:val="none" w:sz="0" w:space="0" w:color="auto"/>
        <w:bottom w:val="none" w:sz="0" w:space="0" w:color="auto"/>
        <w:right w:val="none" w:sz="0" w:space="0" w:color="auto"/>
      </w:divBdr>
    </w:div>
    <w:div w:id="1711609665">
      <w:bodyDiv w:val="1"/>
      <w:marLeft w:val="0"/>
      <w:marRight w:val="0"/>
      <w:marTop w:val="0"/>
      <w:marBottom w:val="0"/>
      <w:divBdr>
        <w:top w:val="none" w:sz="0" w:space="0" w:color="auto"/>
        <w:left w:val="none" w:sz="0" w:space="0" w:color="auto"/>
        <w:bottom w:val="none" w:sz="0" w:space="0" w:color="auto"/>
        <w:right w:val="none" w:sz="0" w:space="0" w:color="auto"/>
      </w:divBdr>
    </w:div>
    <w:div w:id="1727490294">
      <w:bodyDiv w:val="1"/>
      <w:marLeft w:val="0"/>
      <w:marRight w:val="0"/>
      <w:marTop w:val="0"/>
      <w:marBottom w:val="0"/>
      <w:divBdr>
        <w:top w:val="none" w:sz="0" w:space="0" w:color="auto"/>
        <w:left w:val="none" w:sz="0" w:space="0" w:color="auto"/>
        <w:bottom w:val="none" w:sz="0" w:space="0" w:color="auto"/>
        <w:right w:val="none" w:sz="0" w:space="0" w:color="auto"/>
      </w:divBdr>
      <w:divsChild>
        <w:div w:id="1728917757">
          <w:marLeft w:val="0"/>
          <w:marRight w:val="0"/>
          <w:marTop w:val="0"/>
          <w:marBottom w:val="0"/>
          <w:divBdr>
            <w:top w:val="none" w:sz="0" w:space="0" w:color="auto"/>
            <w:left w:val="none" w:sz="0" w:space="0" w:color="auto"/>
            <w:bottom w:val="none" w:sz="0" w:space="0" w:color="auto"/>
            <w:right w:val="none" w:sz="0" w:space="0" w:color="auto"/>
          </w:divBdr>
        </w:div>
      </w:divsChild>
    </w:div>
    <w:div w:id="2133548287">
      <w:bodyDiv w:val="1"/>
      <w:marLeft w:val="0"/>
      <w:marRight w:val="0"/>
      <w:marTop w:val="0"/>
      <w:marBottom w:val="0"/>
      <w:divBdr>
        <w:top w:val="none" w:sz="0" w:space="0" w:color="auto"/>
        <w:left w:val="none" w:sz="0" w:space="0" w:color="auto"/>
        <w:bottom w:val="none" w:sz="0" w:space="0" w:color="auto"/>
        <w:right w:val="none" w:sz="0" w:space="0" w:color="auto"/>
      </w:divBdr>
      <w:divsChild>
        <w:div w:id="3629009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C5A7E-6416-4A46-B7A4-2DF7BBE8B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3600</Words>
  <Characters>20521</Characters>
  <Application>Microsoft Office Word</Application>
  <DocSecurity>0</DocSecurity>
  <Lines>171</Lines>
  <Paragraphs>48</Paragraphs>
  <ScaleCrop>false</ScaleCrop>
  <Company>TWSE 臺灣證券交易所</Company>
  <LinksUpToDate>false</LinksUpToDate>
  <CharactersWithSpaces>24073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00</dc:creator>
  <cp:lastModifiedBy>蔡佩雯</cp:lastModifiedBy>
  <cp:revision>4</cp:revision>
  <cp:lastPrinted>2025-09-01T08:50:00Z</cp:lastPrinted>
  <dcterms:created xsi:type="dcterms:W3CDTF">2025-12-26T08:27:00Z</dcterms:created>
  <dcterms:modified xsi:type="dcterms:W3CDTF">2025-12-30T00:30:00Z</dcterms:modified>
</cp:coreProperties>
</file>